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C34E" w14:textId="67AE6116" w:rsidR="00E32DA4" w:rsidRDefault="00E32DA4" w:rsidP="00E32DA4">
      <w:pPr>
        <w:rPr>
          <w:rFonts w:ascii="Calibri" w:hAnsi="Calibri"/>
          <w:b/>
          <w:color w:val="000000" w:themeColor="text1"/>
        </w:rPr>
      </w:pPr>
      <w:r w:rsidRPr="00A12632">
        <w:rPr>
          <w:rFonts w:ascii="Calibri" w:hAnsi="Calibri"/>
          <w:b/>
          <w:color w:val="000000" w:themeColor="text1"/>
        </w:rPr>
        <w:t>S</w:t>
      </w:r>
      <w:r>
        <w:rPr>
          <w:rFonts w:ascii="Calibri" w:hAnsi="Calibri"/>
          <w:b/>
          <w:color w:val="000000" w:themeColor="text1"/>
        </w:rPr>
        <w:t>5 – Propensity Matching</w:t>
      </w:r>
    </w:p>
    <w:p w14:paraId="55F66020" w14:textId="77777777" w:rsidR="00E32DA4" w:rsidRDefault="00E32DA4" w:rsidP="00E32DA4">
      <w:pPr>
        <w:rPr>
          <w:rFonts w:ascii="Calibri" w:hAnsi="Calibri"/>
          <w:b/>
          <w:color w:val="000000" w:themeColor="text1"/>
        </w:rPr>
      </w:pPr>
    </w:p>
    <w:p w14:paraId="67D28ED4" w14:textId="6B873E4A" w:rsidR="00E32DA4" w:rsidRDefault="00E32DA4" w:rsidP="00E32DA4">
      <w:pPr>
        <w:rPr>
          <w:rFonts w:ascii="Calibri" w:hAnsi="Calibri"/>
          <w:bCs/>
          <w:color w:val="000000" w:themeColor="text1"/>
        </w:rPr>
      </w:pPr>
      <w:r>
        <w:rPr>
          <w:rFonts w:ascii="Calibri" w:hAnsi="Calibri"/>
          <w:bCs/>
          <w:color w:val="000000" w:themeColor="text1"/>
        </w:rPr>
        <w:t>Matching was performed using the MatchIt R packag</w:t>
      </w:r>
      <w:r>
        <w:rPr>
          <w:rFonts w:ascii="Calibri" w:hAnsi="Calibri"/>
          <w:bCs/>
          <w:color w:val="000000" w:themeColor="text1"/>
        </w:rPr>
        <w:t>e</w:t>
      </w:r>
      <w:r>
        <w:rPr>
          <w:rStyle w:val="FootnoteReference"/>
          <w:rFonts w:ascii="Calibri" w:hAnsi="Calibri"/>
          <w:bCs/>
          <w:color w:val="000000" w:themeColor="text1"/>
        </w:rPr>
        <w:footnoteReference w:id="1"/>
      </w:r>
      <w:r>
        <w:rPr>
          <w:rFonts w:ascii="Calibri" w:hAnsi="Calibri"/>
          <w:bCs/>
          <w:color w:val="000000" w:themeColor="text1"/>
        </w:rPr>
        <w:t xml:space="preserve">, where the propensity scoring was done using a generalized linear model (GLM, as reported in the main manuscript) and a random forest, and further Mahanobis distance was used as a direct measurement of similarity (score-less). In each case, nearest neighbor matching was performed to create the most similar subgroups of elevated and non-elevated LVEDP based on gender and age. </w:t>
      </w:r>
    </w:p>
    <w:p w14:paraId="13BE47BD" w14:textId="77777777" w:rsidR="00E32DA4" w:rsidRDefault="00E32DA4" w:rsidP="00E32DA4">
      <w:pPr>
        <w:rPr>
          <w:rFonts w:ascii="Calibri" w:hAnsi="Calibri"/>
          <w:bCs/>
          <w:color w:val="000000" w:themeColor="text1"/>
        </w:rPr>
      </w:pPr>
    </w:p>
    <w:p w14:paraId="05D2E6A5" w14:textId="77777777" w:rsidR="00E32DA4" w:rsidRDefault="00E32DA4" w:rsidP="00E32DA4">
      <w:pPr>
        <w:rPr>
          <w:rFonts w:ascii="Calibri" w:hAnsi="Calibri"/>
          <w:bCs/>
          <w:color w:val="000000" w:themeColor="text1"/>
        </w:rPr>
      </w:pPr>
      <w:r>
        <w:rPr>
          <w:rFonts w:ascii="Calibri" w:hAnsi="Calibri"/>
          <w:bCs/>
          <w:color w:val="000000" w:themeColor="text1"/>
        </w:rPr>
        <w:t xml:space="preserve">The GLM performance was reported in the manuscript and is reproduced here for context. All the matching methods yield similar performances, with GLM in the middle, Random Forest slightly lower, and Mahanobis slightly higher. </w:t>
      </w:r>
    </w:p>
    <w:p w14:paraId="06E6F846" w14:textId="77777777" w:rsidR="00E32DA4" w:rsidRDefault="00E32DA4" w:rsidP="00E32DA4">
      <w:pPr>
        <w:rPr>
          <w:rFonts w:ascii="Calibri" w:hAnsi="Calibri"/>
          <w:bCs/>
          <w:color w:val="000000" w:themeColor="text1"/>
        </w:rPr>
      </w:pPr>
    </w:p>
    <w:tbl>
      <w:tblPr>
        <w:tblStyle w:val="TableGrid"/>
        <w:tblW w:w="0" w:type="auto"/>
        <w:jc w:val="center"/>
        <w:tblLook w:val="04A0" w:firstRow="1" w:lastRow="0" w:firstColumn="1" w:lastColumn="0" w:noHBand="0" w:noVBand="1"/>
      </w:tblPr>
      <w:tblGrid>
        <w:gridCol w:w="4106"/>
        <w:gridCol w:w="3544"/>
      </w:tblGrid>
      <w:tr w:rsidR="00E32DA4" w14:paraId="1FC7942D" w14:textId="77777777" w:rsidTr="000D039C">
        <w:trPr>
          <w:jc w:val="center"/>
        </w:trPr>
        <w:tc>
          <w:tcPr>
            <w:tcW w:w="4106" w:type="dxa"/>
          </w:tcPr>
          <w:p w14:paraId="65CF4EF9" w14:textId="77777777" w:rsidR="00E32DA4" w:rsidRDefault="00E32DA4" w:rsidP="000D039C">
            <w:pPr>
              <w:rPr>
                <w:rFonts w:ascii="Calibri" w:hAnsi="Calibri"/>
              </w:rPr>
            </w:pPr>
            <w:r>
              <w:rPr>
                <w:rFonts w:ascii="Calibri" w:hAnsi="Calibri"/>
              </w:rPr>
              <w:t>Propensity Matching Method</w:t>
            </w:r>
          </w:p>
        </w:tc>
        <w:tc>
          <w:tcPr>
            <w:tcW w:w="3544" w:type="dxa"/>
          </w:tcPr>
          <w:p w14:paraId="5D15937A" w14:textId="77777777" w:rsidR="00E32DA4" w:rsidRDefault="00E32DA4" w:rsidP="000D039C">
            <w:pPr>
              <w:rPr>
                <w:rFonts w:ascii="Calibri" w:hAnsi="Calibri"/>
              </w:rPr>
            </w:pPr>
            <w:r>
              <w:rPr>
                <w:rFonts w:ascii="Calibri" w:hAnsi="Calibri"/>
              </w:rPr>
              <w:t>AUC in Matched Data</w:t>
            </w:r>
          </w:p>
        </w:tc>
      </w:tr>
      <w:tr w:rsidR="00E32DA4" w14:paraId="35D7FF35" w14:textId="77777777" w:rsidTr="000D039C">
        <w:trPr>
          <w:jc w:val="center"/>
        </w:trPr>
        <w:tc>
          <w:tcPr>
            <w:tcW w:w="4106" w:type="dxa"/>
          </w:tcPr>
          <w:p w14:paraId="468C488E" w14:textId="77777777" w:rsidR="00E32DA4" w:rsidRDefault="00E32DA4" w:rsidP="000D039C">
            <w:pPr>
              <w:rPr>
                <w:rFonts w:ascii="Calibri" w:hAnsi="Calibri"/>
              </w:rPr>
            </w:pPr>
            <w:r>
              <w:rPr>
                <w:rFonts w:ascii="Calibri" w:hAnsi="Calibri"/>
              </w:rPr>
              <w:t>GLM</w:t>
            </w:r>
          </w:p>
        </w:tc>
        <w:tc>
          <w:tcPr>
            <w:tcW w:w="3544" w:type="dxa"/>
          </w:tcPr>
          <w:p w14:paraId="0EC850FF" w14:textId="77777777" w:rsidR="00E32DA4" w:rsidRPr="00BE770C" w:rsidRDefault="00E32DA4" w:rsidP="000D039C">
            <w:pPr>
              <w:rPr>
                <w:rFonts w:ascii="Calibri" w:hAnsi="Calibri"/>
                <w:bCs/>
                <w:color w:val="000000" w:themeColor="text1"/>
              </w:rPr>
            </w:pPr>
            <w:r w:rsidRPr="003A2CFC">
              <w:rPr>
                <w:rFonts w:ascii="Calibri" w:hAnsi="Calibri"/>
              </w:rPr>
              <w:t>0.79 (</w:t>
            </w:r>
            <w:r>
              <w:rPr>
                <w:rFonts w:ascii="Calibri" w:hAnsi="Calibri"/>
              </w:rPr>
              <w:t xml:space="preserve">95% CI: </w:t>
            </w:r>
            <w:r w:rsidRPr="003A2CFC">
              <w:rPr>
                <w:rFonts w:ascii="Calibri" w:hAnsi="Calibri"/>
              </w:rPr>
              <w:t>0.72, 0.86</w:t>
            </w:r>
            <w:r>
              <w:rPr>
                <w:rFonts w:ascii="Calibri" w:hAnsi="Calibri"/>
              </w:rPr>
              <w:t>)</w:t>
            </w:r>
          </w:p>
        </w:tc>
      </w:tr>
      <w:tr w:rsidR="00E32DA4" w14:paraId="00F813F5" w14:textId="77777777" w:rsidTr="000D039C">
        <w:trPr>
          <w:jc w:val="center"/>
        </w:trPr>
        <w:tc>
          <w:tcPr>
            <w:tcW w:w="4106" w:type="dxa"/>
          </w:tcPr>
          <w:p w14:paraId="3A66736A" w14:textId="77777777" w:rsidR="00E32DA4" w:rsidRDefault="00E32DA4" w:rsidP="000D039C">
            <w:pPr>
              <w:rPr>
                <w:rFonts w:ascii="Calibri" w:hAnsi="Calibri"/>
              </w:rPr>
            </w:pPr>
            <w:r>
              <w:rPr>
                <w:rFonts w:ascii="Calibri" w:hAnsi="Calibri"/>
              </w:rPr>
              <w:t>Random Forest</w:t>
            </w:r>
          </w:p>
        </w:tc>
        <w:tc>
          <w:tcPr>
            <w:tcW w:w="3544" w:type="dxa"/>
          </w:tcPr>
          <w:p w14:paraId="07667736" w14:textId="77777777" w:rsidR="00E32DA4" w:rsidRDefault="00E32DA4" w:rsidP="000D039C">
            <w:pPr>
              <w:rPr>
                <w:rFonts w:ascii="Calibri" w:hAnsi="Calibri"/>
              </w:rPr>
            </w:pPr>
            <w:r w:rsidRPr="00BE770C">
              <w:rPr>
                <w:rFonts w:ascii="Calibri" w:hAnsi="Calibri"/>
              </w:rPr>
              <w:t>0.77 (</w:t>
            </w:r>
            <w:r>
              <w:rPr>
                <w:rFonts w:ascii="Calibri" w:hAnsi="Calibri"/>
              </w:rPr>
              <w:t xml:space="preserve">95% CI: </w:t>
            </w:r>
            <w:r w:rsidRPr="00BE770C">
              <w:rPr>
                <w:rFonts w:ascii="Calibri" w:hAnsi="Calibri"/>
              </w:rPr>
              <w:t>0.69, 0.84)</w:t>
            </w:r>
          </w:p>
        </w:tc>
      </w:tr>
      <w:tr w:rsidR="00E32DA4" w14:paraId="27B61B0C" w14:textId="77777777" w:rsidTr="000D039C">
        <w:trPr>
          <w:jc w:val="center"/>
        </w:trPr>
        <w:tc>
          <w:tcPr>
            <w:tcW w:w="4106" w:type="dxa"/>
          </w:tcPr>
          <w:p w14:paraId="48226077" w14:textId="77777777" w:rsidR="00E32DA4" w:rsidRDefault="00E32DA4" w:rsidP="000D039C">
            <w:pPr>
              <w:rPr>
                <w:rFonts w:ascii="Calibri" w:hAnsi="Calibri"/>
              </w:rPr>
            </w:pPr>
            <w:r>
              <w:rPr>
                <w:rFonts w:ascii="Calibri" w:hAnsi="Calibri"/>
                <w:bCs/>
                <w:color w:val="000000" w:themeColor="text1"/>
              </w:rPr>
              <w:t>Mahanobis</w:t>
            </w:r>
          </w:p>
        </w:tc>
        <w:tc>
          <w:tcPr>
            <w:tcW w:w="3544" w:type="dxa"/>
          </w:tcPr>
          <w:p w14:paraId="69DB937D" w14:textId="77777777" w:rsidR="00E32DA4" w:rsidRDefault="00E32DA4" w:rsidP="000D039C">
            <w:pPr>
              <w:rPr>
                <w:rFonts w:ascii="Calibri" w:hAnsi="Calibri"/>
              </w:rPr>
            </w:pPr>
            <w:r w:rsidRPr="00BE770C">
              <w:rPr>
                <w:rFonts w:ascii="Calibri" w:hAnsi="Calibri"/>
              </w:rPr>
              <w:t>0.82 (</w:t>
            </w:r>
            <w:r>
              <w:rPr>
                <w:rFonts w:ascii="Calibri" w:hAnsi="Calibri"/>
              </w:rPr>
              <w:t xml:space="preserve">95% CI: </w:t>
            </w:r>
            <w:r w:rsidRPr="00BE770C">
              <w:rPr>
                <w:rFonts w:ascii="Calibri" w:hAnsi="Calibri"/>
              </w:rPr>
              <w:t>0.76, 0.89)</w:t>
            </w:r>
          </w:p>
        </w:tc>
      </w:tr>
    </w:tbl>
    <w:p w14:paraId="10385FC6" w14:textId="77777777" w:rsidR="00E32DA4" w:rsidRDefault="00E32DA4" w:rsidP="00E32DA4"/>
    <w:p w14:paraId="5DBEDC2F" w14:textId="1BA244E4" w:rsidR="00D91445" w:rsidRDefault="00E32DA4">
      <w:r w:rsidRPr="00E32DA4">
        <w:t xml:space="preserve">  </w:t>
      </w:r>
    </w:p>
    <w:sectPr w:rsidR="00D91445" w:rsidSect="00F74F0D">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6C5C" w14:textId="77777777" w:rsidR="0062027B" w:rsidRDefault="0062027B" w:rsidP="00E32DA4">
      <w:r>
        <w:separator/>
      </w:r>
    </w:p>
  </w:endnote>
  <w:endnote w:type="continuationSeparator" w:id="0">
    <w:p w14:paraId="04885750" w14:textId="77777777" w:rsidR="0062027B" w:rsidRDefault="0062027B" w:rsidP="00E3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67C7" w14:textId="77777777" w:rsidR="0062027B" w:rsidRDefault="0062027B" w:rsidP="00E32DA4">
      <w:r>
        <w:separator/>
      </w:r>
    </w:p>
  </w:footnote>
  <w:footnote w:type="continuationSeparator" w:id="0">
    <w:p w14:paraId="61E33CFD" w14:textId="77777777" w:rsidR="0062027B" w:rsidRDefault="0062027B" w:rsidP="00E32DA4">
      <w:r>
        <w:continuationSeparator/>
      </w:r>
    </w:p>
  </w:footnote>
  <w:footnote w:id="1">
    <w:p w14:paraId="3E6D9A9D" w14:textId="2717D767" w:rsidR="00E32DA4" w:rsidRPr="00E32DA4" w:rsidRDefault="00E32DA4">
      <w:pPr>
        <w:pStyle w:val="FootnoteText"/>
        <w:rPr>
          <w:lang w:val="en-US"/>
        </w:rPr>
      </w:pPr>
      <w:r>
        <w:rPr>
          <w:rStyle w:val="FootnoteReference"/>
        </w:rPr>
        <w:footnoteRef/>
      </w:r>
      <w:r>
        <w:t xml:space="preserve"> </w:t>
      </w:r>
      <w:r w:rsidRPr="00E32DA4">
        <w:t>Ho, D. E., Imai, K., King, G., &amp; Stuart, E. A. (2011). MatchIt: Nonparametric Preprocessing for Parametric Causal Inference. Journal of Statistical Software, 42(8). doi:10.18637/</w:t>
      </w:r>
      <w:proofErr w:type="gramStart"/>
      <w:r w:rsidRPr="00E32DA4">
        <w:t>jss.v042.i</w:t>
      </w:r>
      <w:proofErr w:type="gramEnd"/>
      <w:r w:rsidRPr="00E32DA4">
        <w:t>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A4"/>
    <w:rsid w:val="0062027B"/>
    <w:rsid w:val="00D91445"/>
    <w:rsid w:val="00E32DA4"/>
    <w:rsid w:val="00F74F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75BFD7"/>
  <w15:chartTrackingRefBased/>
  <w15:docId w15:val="{EF26FCB0-4C9A-AB4C-915E-40ABF225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D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2DA4"/>
    <w:rPr>
      <w:rFonts w:eastAsiaTheme="minorEastAsia" w:cs="Times New Roman"/>
      <w:sz w:val="22"/>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2DA4"/>
    <w:rPr>
      <w:sz w:val="20"/>
      <w:szCs w:val="20"/>
    </w:rPr>
  </w:style>
  <w:style w:type="character" w:customStyle="1" w:styleId="FootnoteTextChar">
    <w:name w:val="Footnote Text Char"/>
    <w:basedOn w:val="DefaultParagraphFont"/>
    <w:link w:val="FootnoteText"/>
    <w:uiPriority w:val="99"/>
    <w:semiHidden/>
    <w:rsid w:val="00E32D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2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8FF266A34304EB9DD89C459B9B168" ma:contentTypeVersion="10" ma:contentTypeDescription="Create a new document." ma:contentTypeScope="" ma:versionID="8dcd060c6d148611a149f0b48e1b8929">
  <xsd:schema xmlns:xsd="http://www.w3.org/2001/XMLSchema" xmlns:xs="http://www.w3.org/2001/XMLSchema" xmlns:p="http://schemas.microsoft.com/office/2006/metadata/properties" xmlns:ns2="b979083c-17e8-43da-bde7-e8892e5088f5" xmlns:ns3="92e7a107-3da3-4003-8a79-1ffa35643876" targetNamespace="http://schemas.microsoft.com/office/2006/metadata/properties" ma:root="true" ma:fieldsID="eedeb034df00dfe90eac3075ce743784" ns2:_="" ns3:_="">
    <xsd:import namespace="b979083c-17e8-43da-bde7-e8892e5088f5"/>
    <xsd:import namespace="92e7a107-3da3-4003-8a79-1ffa35643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9083c-17e8-43da-bde7-e8892e508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e17ba0-86f2-4d14-baba-23c5871b6c3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7a107-3da3-4003-8a79-1ffa3564387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b9088-db98-4a80-9a70-2b3337a41a6b}" ma:internalName="TaxCatchAll" ma:showField="CatchAllData" ma:web="92e7a107-3da3-4003-8a79-1ffa356438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e7a107-3da3-4003-8a79-1ffa35643876" xsi:nil="true"/>
    <lcf76f155ced4ddcb4097134ff3c332f xmlns="b979083c-17e8-43da-bde7-e8892e5088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FD19A5-8138-458B-A248-D5FF822DBB0B}"/>
</file>

<file path=customXml/itemProps2.xml><?xml version="1.0" encoding="utf-8"?>
<ds:datastoreItem xmlns:ds="http://schemas.openxmlformats.org/officeDocument/2006/customXml" ds:itemID="{453050B0-6586-4AB0-9908-155B3FCA060A}"/>
</file>

<file path=customXml/itemProps3.xml><?xml version="1.0" encoding="utf-8"?>
<ds:datastoreItem xmlns:ds="http://schemas.openxmlformats.org/officeDocument/2006/customXml" ds:itemID="{6D3799B6-B6E6-47BD-B3C6-428B9F7461AB}"/>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Burton</dc:creator>
  <cp:keywords/>
  <dc:description/>
  <cp:lastModifiedBy>Tim Burton</cp:lastModifiedBy>
  <cp:revision>1</cp:revision>
  <dcterms:created xsi:type="dcterms:W3CDTF">2022-07-11T19:47:00Z</dcterms:created>
  <dcterms:modified xsi:type="dcterms:W3CDTF">2022-07-11T19:48:00Z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0x0101002ED8FF266A34304EB9DD89C459B9B168</vt:lpwstr>
  </property>
</Properties>
</file>