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0968" w14:textId="4CBC41E2" w:rsidR="00A636C3" w:rsidRPr="00412E44" w:rsidRDefault="00A636C3" w:rsidP="422F24A5">
      <w:pPr>
        <w:spacing w:line="360" w:lineRule="auto"/>
        <w:ind w:left="360"/>
        <w:rPr>
          <w:rFonts w:asciiTheme="majorHAnsi" w:hAnsiTheme="majorHAnsi" w:cstheme="majorBidi"/>
          <w:b/>
          <w:bCs/>
          <w:sz w:val="24"/>
          <w:szCs w:val="24"/>
        </w:rPr>
      </w:pPr>
    </w:p>
    <w:p w14:paraId="6D385191" w14:textId="01EB8E2B" w:rsidR="00412E44" w:rsidRPr="00412E44" w:rsidRDefault="00412E44">
      <w:pPr>
        <w:spacing w:line="360" w:lineRule="auto"/>
        <w:ind w:left="360"/>
        <w:jc w:val="center"/>
        <w:rPr>
          <w:rFonts w:asciiTheme="majorHAnsi" w:hAnsiTheme="majorHAnsi" w:cstheme="majorHAnsi"/>
          <w:b/>
          <w:sz w:val="32"/>
          <w:szCs w:val="32"/>
          <w:lang w:val="pt-BR"/>
        </w:rPr>
      </w:pPr>
      <w:r w:rsidRPr="00412E44">
        <w:rPr>
          <w:rFonts w:asciiTheme="majorHAnsi" w:hAnsiTheme="majorHAnsi" w:cstheme="majorHAnsi"/>
          <w:b/>
          <w:sz w:val="32"/>
          <w:szCs w:val="32"/>
          <w:lang w:val="pt-BR"/>
        </w:rPr>
        <w:t>Sírio – Libanês</w:t>
      </w:r>
      <w:r w:rsidR="00CA1E64" w:rsidRPr="00CA1E64">
        <w:rPr>
          <w:rFonts w:asciiTheme="majorHAnsi" w:hAnsiTheme="majorHAnsi" w:cstheme="majorHAnsi"/>
          <w:b/>
          <w:sz w:val="32"/>
          <w:szCs w:val="32"/>
          <w:lang w:val="pt-BR"/>
        </w:rPr>
        <w:t xml:space="preserve"> </w:t>
      </w:r>
      <w:r w:rsidR="00CA1E64" w:rsidRPr="00412E44">
        <w:rPr>
          <w:rFonts w:asciiTheme="majorHAnsi" w:hAnsiTheme="majorHAnsi" w:cstheme="majorHAnsi"/>
          <w:b/>
          <w:sz w:val="32"/>
          <w:szCs w:val="32"/>
          <w:lang w:val="pt-BR"/>
        </w:rPr>
        <w:t>Hospital</w:t>
      </w:r>
    </w:p>
    <w:p w14:paraId="7D172ED0" w14:textId="77777777" w:rsidR="00CA1E64" w:rsidRPr="00CA1E64" w:rsidRDefault="00CA1E64" w:rsidP="00CA1E64">
      <w:pPr>
        <w:spacing w:line="360" w:lineRule="auto"/>
        <w:ind w:left="360"/>
        <w:jc w:val="center"/>
        <w:rPr>
          <w:rFonts w:asciiTheme="majorHAnsi" w:hAnsiTheme="majorHAnsi" w:cstheme="majorHAnsi"/>
          <w:sz w:val="24"/>
          <w:szCs w:val="24"/>
          <w:lang w:val="en-US"/>
        </w:rPr>
      </w:pPr>
      <w:r w:rsidRPr="00CA1E64">
        <w:rPr>
          <w:rFonts w:asciiTheme="majorHAnsi" w:hAnsiTheme="majorHAnsi" w:cstheme="majorHAnsi"/>
          <w:sz w:val="24"/>
          <w:szCs w:val="24"/>
          <w:lang w:val="en-US"/>
        </w:rPr>
        <w:t>Institute of Teaching and Research</w:t>
      </w:r>
    </w:p>
    <w:p w14:paraId="60A05272" w14:textId="7D6BE270" w:rsidR="00412E44" w:rsidRPr="00CA1E64" w:rsidRDefault="00CA1E64" w:rsidP="00CA1E64">
      <w:pPr>
        <w:spacing w:line="360" w:lineRule="auto"/>
        <w:ind w:left="360"/>
        <w:jc w:val="center"/>
        <w:rPr>
          <w:rFonts w:asciiTheme="majorHAnsi" w:hAnsiTheme="majorHAnsi" w:cstheme="majorHAnsi"/>
          <w:b/>
          <w:sz w:val="24"/>
          <w:szCs w:val="24"/>
          <w:lang w:val="en-US"/>
        </w:rPr>
      </w:pPr>
      <w:r w:rsidRPr="00CA1E64">
        <w:rPr>
          <w:rFonts w:asciiTheme="majorHAnsi" w:hAnsiTheme="majorHAnsi" w:cstheme="majorHAnsi"/>
          <w:sz w:val="24"/>
          <w:szCs w:val="24"/>
          <w:lang w:val="en-US"/>
        </w:rPr>
        <w:t>Social Responsibility Office - PROADI SUS</w:t>
      </w:r>
    </w:p>
    <w:p w14:paraId="59CCADD0" w14:textId="2F8AA785" w:rsidR="00412E44" w:rsidRPr="00CA1E64" w:rsidRDefault="00412E44">
      <w:pPr>
        <w:spacing w:line="360" w:lineRule="auto"/>
        <w:ind w:left="360"/>
        <w:jc w:val="center"/>
        <w:rPr>
          <w:rFonts w:asciiTheme="majorHAnsi" w:hAnsiTheme="majorHAnsi" w:cstheme="majorHAnsi"/>
          <w:b/>
          <w:sz w:val="24"/>
          <w:szCs w:val="24"/>
          <w:lang w:val="en-US"/>
        </w:rPr>
      </w:pPr>
    </w:p>
    <w:p w14:paraId="75496F08" w14:textId="1729601A" w:rsidR="00412E44" w:rsidRPr="00CA1E64" w:rsidRDefault="00412E44">
      <w:pPr>
        <w:spacing w:line="360" w:lineRule="auto"/>
        <w:ind w:left="360"/>
        <w:jc w:val="center"/>
        <w:rPr>
          <w:rFonts w:asciiTheme="majorHAnsi" w:hAnsiTheme="majorHAnsi" w:cstheme="majorHAnsi"/>
          <w:b/>
          <w:sz w:val="24"/>
          <w:szCs w:val="24"/>
          <w:lang w:val="en-US"/>
        </w:rPr>
      </w:pPr>
    </w:p>
    <w:p w14:paraId="29588EF4" w14:textId="03AE53B0" w:rsidR="00412E44" w:rsidRPr="00CA1E64" w:rsidRDefault="00412E44">
      <w:pPr>
        <w:spacing w:line="360" w:lineRule="auto"/>
        <w:ind w:left="360"/>
        <w:jc w:val="center"/>
        <w:rPr>
          <w:rFonts w:asciiTheme="majorHAnsi" w:hAnsiTheme="majorHAnsi" w:cstheme="majorHAnsi"/>
          <w:b/>
          <w:sz w:val="44"/>
          <w:szCs w:val="44"/>
          <w:lang w:val="en-US"/>
        </w:rPr>
      </w:pPr>
    </w:p>
    <w:p w14:paraId="705F8989" w14:textId="38AEA5F3" w:rsidR="00412E44" w:rsidRPr="00CA1E64" w:rsidRDefault="00CA1E64">
      <w:pPr>
        <w:spacing w:line="360" w:lineRule="auto"/>
        <w:ind w:left="360"/>
        <w:jc w:val="center"/>
        <w:rPr>
          <w:rFonts w:asciiTheme="majorHAnsi" w:hAnsiTheme="majorHAnsi" w:cstheme="majorHAnsi"/>
          <w:b/>
          <w:sz w:val="24"/>
          <w:szCs w:val="24"/>
          <w:lang w:val="en-US"/>
        </w:rPr>
      </w:pPr>
      <w:r w:rsidRPr="00CA1E64">
        <w:rPr>
          <w:rFonts w:asciiTheme="majorHAnsi" w:hAnsiTheme="majorHAnsi" w:cstheme="majorHAnsi"/>
          <w:b/>
          <w:sz w:val="44"/>
          <w:szCs w:val="44"/>
          <w:lang w:val="en-US"/>
        </w:rPr>
        <w:t>Biperiden for the prevention of epilepsy in patients with traumatic brain injury.</w:t>
      </w:r>
    </w:p>
    <w:p w14:paraId="5AA8D7A4" w14:textId="22D8D540" w:rsidR="00412E44" w:rsidRPr="00CA1E64" w:rsidRDefault="00412E44">
      <w:pPr>
        <w:spacing w:line="360" w:lineRule="auto"/>
        <w:ind w:left="360"/>
        <w:jc w:val="center"/>
        <w:rPr>
          <w:rFonts w:asciiTheme="majorHAnsi" w:hAnsiTheme="majorHAnsi" w:cstheme="majorHAnsi"/>
          <w:b/>
          <w:sz w:val="24"/>
          <w:szCs w:val="24"/>
          <w:lang w:val="en-US"/>
        </w:rPr>
      </w:pPr>
    </w:p>
    <w:p w14:paraId="7379AB33" w14:textId="3508B418" w:rsidR="00412E44" w:rsidRPr="00CA1E64" w:rsidRDefault="00412E44">
      <w:pPr>
        <w:spacing w:line="360" w:lineRule="auto"/>
        <w:ind w:left="360"/>
        <w:jc w:val="center"/>
        <w:rPr>
          <w:rFonts w:asciiTheme="majorHAnsi" w:hAnsiTheme="majorHAnsi" w:cstheme="majorHAnsi"/>
          <w:b/>
          <w:sz w:val="24"/>
          <w:szCs w:val="24"/>
          <w:lang w:val="en-US"/>
        </w:rPr>
      </w:pPr>
    </w:p>
    <w:p w14:paraId="29F1BEE2" w14:textId="0684F56B" w:rsidR="00412E44" w:rsidRPr="00CA1E64" w:rsidRDefault="00412E44">
      <w:pPr>
        <w:spacing w:line="360" w:lineRule="auto"/>
        <w:ind w:left="360"/>
        <w:jc w:val="center"/>
        <w:rPr>
          <w:rFonts w:asciiTheme="majorHAnsi" w:hAnsiTheme="majorHAnsi" w:cstheme="majorHAnsi"/>
          <w:b/>
          <w:sz w:val="24"/>
          <w:szCs w:val="24"/>
          <w:lang w:val="en-US"/>
        </w:rPr>
      </w:pPr>
    </w:p>
    <w:p w14:paraId="35C7B99A" w14:textId="77777777" w:rsidR="00412E44" w:rsidRPr="00CA1E64" w:rsidRDefault="00412E44">
      <w:pPr>
        <w:spacing w:line="360" w:lineRule="auto"/>
        <w:ind w:left="360"/>
        <w:jc w:val="center"/>
        <w:rPr>
          <w:rFonts w:asciiTheme="majorHAnsi" w:hAnsiTheme="majorHAnsi" w:cstheme="majorHAnsi"/>
          <w:b/>
          <w:sz w:val="24"/>
          <w:szCs w:val="24"/>
          <w:lang w:val="en-US"/>
        </w:rPr>
      </w:pPr>
    </w:p>
    <w:p w14:paraId="2481ACDE" w14:textId="36BD2B76" w:rsidR="00412E44" w:rsidRPr="00CA1E64" w:rsidRDefault="00412E44">
      <w:pPr>
        <w:spacing w:line="360" w:lineRule="auto"/>
        <w:ind w:left="360"/>
        <w:jc w:val="center"/>
        <w:rPr>
          <w:rFonts w:asciiTheme="majorHAnsi" w:hAnsiTheme="majorHAnsi" w:cstheme="majorHAnsi"/>
          <w:b/>
          <w:sz w:val="24"/>
          <w:szCs w:val="24"/>
          <w:lang w:val="en-US"/>
        </w:rPr>
      </w:pPr>
    </w:p>
    <w:p w14:paraId="123927DC" w14:textId="626FDA90" w:rsidR="00412E44" w:rsidRPr="00412E44" w:rsidRDefault="00CA1E64">
      <w:pPr>
        <w:spacing w:line="360" w:lineRule="auto"/>
        <w:ind w:left="360"/>
        <w:jc w:val="center"/>
        <w:rPr>
          <w:rFonts w:asciiTheme="majorHAnsi" w:hAnsiTheme="majorHAnsi" w:cstheme="majorHAnsi"/>
          <w:b/>
          <w:sz w:val="24"/>
          <w:szCs w:val="24"/>
          <w:lang w:val="pt-BR"/>
        </w:rPr>
      </w:pPr>
      <w:r>
        <w:rPr>
          <w:rFonts w:asciiTheme="majorHAnsi" w:hAnsiTheme="majorHAnsi" w:cstheme="majorHAnsi"/>
          <w:b/>
          <w:sz w:val="24"/>
          <w:szCs w:val="24"/>
          <w:lang w:val="pt-BR"/>
        </w:rPr>
        <w:t>Principal Investigators</w:t>
      </w:r>
      <w:r w:rsidR="00412E44" w:rsidRPr="00412E44">
        <w:rPr>
          <w:rFonts w:asciiTheme="majorHAnsi" w:hAnsiTheme="majorHAnsi" w:cstheme="majorHAnsi"/>
          <w:b/>
          <w:sz w:val="24"/>
          <w:szCs w:val="24"/>
          <w:lang w:val="pt-BR"/>
        </w:rPr>
        <w:t xml:space="preserve">: </w:t>
      </w:r>
      <w:r w:rsidR="00412E44" w:rsidRPr="00412E44">
        <w:rPr>
          <w:rFonts w:asciiTheme="majorHAnsi" w:hAnsiTheme="majorHAnsi" w:cstheme="majorHAnsi"/>
          <w:sz w:val="24"/>
          <w:szCs w:val="24"/>
          <w:lang w:val="pt-BR"/>
        </w:rPr>
        <w:t>Eliana Garzon e Luiz Eugênio Mello</w:t>
      </w:r>
    </w:p>
    <w:p w14:paraId="2DA963C4" w14:textId="7CECE28A" w:rsidR="00412E44" w:rsidRPr="00412E44" w:rsidRDefault="00CA1E64">
      <w:pPr>
        <w:spacing w:line="360" w:lineRule="auto"/>
        <w:ind w:left="360"/>
        <w:jc w:val="center"/>
        <w:rPr>
          <w:rFonts w:asciiTheme="majorHAnsi" w:hAnsiTheme="majorHAnsi" w:cstheme="majorHAnsi"/>
          <w:b/>
          <w:sz w:val="24"/>
          <w:szCs w:val="24"/>
          <w:lang w:val="pt-BR"/>
        </w:rPr>
      </w:pPr>
      <w:r>
        <w:rPr>
          <w:rFonts w:asciiTheme="majorHAnsi" w:hAnsiTheme="majorHAnsi" w:cstheme="majorHAnsi"/>
          <w:b/>
          <w:sz w:val="24"/>
          <w:szCs w:val="24"/>
          <w:lang w:val="pt-BR"/>
        </w:rPr>
        <w:t>Research Team</w:t>
      </w:r>
      <w:r w:rsidR="00412E44" w:rsidRPr="00412E44">
        <w:rPr>
          <w:rFonts w:asciiTheme="majorHAnsi" w:hAnsiTheme="majorHAnsi" w:cstheme="majorHAnsi"/>
          <w:b/>
          <w:sz w:val="24"/>
          <w:szCs w:val="24"/>
          <w:lang w:val="pt-BR"/>
        </w:rPr>
        <w:t xml:space="preserve">: </w:t>
      </w:r>
      <w:r w:rsidR="003D5700" w:rsidRPr="00905271">
        <w:rPr>
          <w:rFonts w:asciiTheme="majorHAnsi" w:hAnsiTheme="majorHAnsi" w:cstheme="majorHAnsi"/>
          <w:sz w:val="24"/>
          <w:szCs w:val="24"/>
          <w:lang w:val="pt-BR"/>
        </w:rPr>
        <w:t>Renata Mattos,</w:t>
      </w:r>
      <w:r w:rsidR="00412E44" w:rsidRPr="00905271">
        <w:rPr>
          <w:rFonts w:asciiTheme="majorHAnsi" w:hAnsiTheme="majorHAnsi" w:cstheme="majorHAnsi"/>
          <w:sz w:val="24"/>
          <w:szCs w:val="24"/>
          <w:lang w:val="pt-BR"/>
        </w:rPr>
        <w:t xml:space="preserve"> Rachel Rieira, Maíra Foresti</w:t>
      </w:r>
      <w:r w:rsidR="003D5700" w:rsidRPr="00905271">
        <w:rPr>
          <w:rFonts w:asciiTheme="majorHAnsi" w:hAnsiTheme="majorHAnsi" w:cstheme="majorHAnsi"/>
          <w:sz w:val="24"/>
          <w:szCs w:val="24"/>
          <w:lang w:val="pt-BR"/>
        </w:rPr>
        <w:t>, Carla Pinheiro, Ana Cecília Alcantara</w:t>
      </w:r>
      <w:r w:rsidR="00F76E65">
        <w:rPr>
          <w:rFonts w:asciiTheme="majorHAnsi" w:hAnsiTheme="majorHAnsi" w:cstheme="majorHAnsi"/>
          <w:sz w:val="24"/>
          <w:szCs w:val="24"/>
          <w:lang w:val="pt-BR"/>
        </w:rPr>
        <w:t xml:space="preserve">, </w:t>
      </w:r>
      <w:r w:rsidR="00F76E65" w:rsidRPr="00905271">
        <w:rPr>
          <w:rFonts w:asciiTheme="majorHAnsi" w:hAnsiTheme="majorHAnsi" w:cstheme="majorHAnsi"/>
          <w:sz w:val="24"/>
          <w:szCs w:val="24"/>
          <w:lang w:val="pt-BR"/>
        </w:rPr>
        <w:t xml:space="preserve">Débora Patricio e </w:t>
      </w:r>
      <w:r w:rsidR="00D71AA5" w:rsidRPr="00905271">
        <w:rPr>
          <w:rFonts w:asciiTheme="majorHAnsi" w:hAnsiTheme="majorHAnsi" w:cstheme="majorHAnsi"/>
          <w:sz w:val="24"/>
          <w:szCs w:val="24"/>
          <w:lang w:val="pt-BR"/>
        </w:rPr>
        <w:t>Mariane Luz</w:t>
      </w:r>
    </w:p>
    <w:p w14:paraId="49134658" w14:textId="11C8DA12" w:rsidR="00412E44" w:rsidRPr="00412E44" w:rsidRDefault="00412E44">
      <w:pPr>
        <w:spacing w:line="360" w:lineRule="auto"/>
        <w:ind w:left="360"/>
        <w:jc w:val="center"/>
        <w:rPr>
          <w:b/>
          <w:sz w:val="24"/>
          <w:szCs w:val="24"/>
          <w:lang w:val="pt-BR"/>
        </w:rPr>
      </w:pPr>
    </w:p>
    <w:p w14:paraId="3796D364" w14:textId="64729BEB" w:rsidR="00412E44" w:rsidRPr="00412E44" w:rsidRDefault="00412E44">
      <w:pPr>
        <w:spacing w:line="360" w:lineRule="auto"/>
        <w:ind w:left="360"/>
        <w:jc w:val="center"/>
        <w:rPr>
          <w:b/>
          <w:sz w:val="24"/>
          <w:szCs w:val="24"/>
          <w:lang w:val="pt-BR"/>
        </w:rPr>
      </w:pPr>
    </w:p>
    <w:p w14:paraId="52924728" w14:textId="12C87319" w:rsidR="00412E44" w:rsidRPr="00412E44" w:rsidRDefault="00412E44">
      <w:pPr>
        <w:spacing w:line="360" w:lineRule="auto"/>
        <w:ind w:left="360"/>
        <w:jc w:val="center"/>
        <w:rPr>
          <w:b/>
          <w:sz w:val="24"/>
          <w:szCs w:val="24"/>
          <w:lang w:val="pt-BR"/>
        </w:rPr>
      </w:pPr>
    </w:p>
    <w:p w14:paraId="2EF44686" w14:textId="57E4B4CB" w:rsidR="00412E44" w:rsidRPr="00412E44" w:rsidRDefault="00412E44">
      <w:pPr>
        <w:spacing w:line="360" w:lineRule="auto"/>
        <w:ind w:left="360"/>
        <w:jc w:val="center"/>
        <w:rPr>
          <w:b/>
          <w:sz w:val="24"/>
          <w:szCs w:val="24"/>
          <w:lang w:val="pt-BR"/>
        </w:rPr>
      </w:pPr>
    </w:p>
    <w:p w14:paraId="7BF8A935" w14:textId="26BBD5E6" w:rsidR="00412E44" w:rsidRDefault="00412E44">
      <w:pPr>
        <w:spacing w:line="360" w:lineRule="auto"/>
        <w:ind w:left="360"/>
        <w:jc w:val="center"/>
        <w:rPr>
          <w:b/>
          <w:sz w:val="24"/>
          <w:szCs w:val="24"/>
          <w:lang w:val="pt-BR"/>
        </w:rPr>
      </w:pPr>
    </w:p>
    <w:p w14:paraId="0F09A582" w14:textId="001F349D" w:rsidR="00CA1E64" w:rsidRDefault="00CA1E64">
      <w:pPr>
        <w:spacing w:line="360" w:lineRule="auto"/>
        <w:ind w:left="360"/>
        <w:jc w:val="center"/>
        <w:rPr>
          <w:b/>
          <w:sz w:val="24"/>
          <w:szCs w:val="24"/>
          <w:lang w:val="pt-BR"/>
        </w:rPr>
      </w:pPr>
    </w:p>
    <w:p w14:paraId="483209FB" w14:textId="77777777" w:rsidR="00CA1E64" w:rsidRPr="00412E44" w:rsidRDefault="00CA1E64">
      <w:pPr>
        <w:spacing w:line="360" w:lineRule="auto"/>
        <w:ind w:left="360"/>
        <w:jc w:val="center"/>
        <w:rPr>
          <w:b/>
          <w:sz w:val="24"/>
          <w:szCs w:val="24"/>
          <w:lang w:val="pt-BR"/>
        </w:rPr>
      </w:pPr>
    </w:p>
    <w:p w14:paraId="3D745134" w14:textId="6645C748" w:rsidR="00412E44" w:rsidRPr="00412E44" w:rsidRDefault="00412E44">
      <w:pPr>
        <w:spacing w:line="360" w:lineRule="auto"/>
        <w:ind w:left="360"/>
        <w:jc w:val="center"/>
        <w:rPr>
          <w:b/>
          <w:sz w:val="24"/>
          <w:szCs w:val="24"/>
          <w:lang w:val="pt-BR"/>
        </w:rPr>
      </w:pPr>
      <w:r>
        <w:rPr>
          <w:b/>
          <w:sz w:val="24"/>
          <w:szCs w:val="24"/>
          <w:lang w:val="pt-BR"/>
        </w:rPr>
        <w:t>São Paulo, 20</w:t>
      </w:r>
      <w:r w:rsidR="004A2A17">
        <w:rPr>
          <w:b/>
          <w:sz w:val="24"/>
          <w:szCs w:val="24"/>
          <w:lang w:val="pt-BR"/>
        </w:rPr>
        <w:t>21</w:t>
      </w:r>
    </w:p>
    <w:p w14:paraId="15B49A48" w14:textId="13BCCD93" w:rsidR="00412E44" w:rsidRPr="00412E44" w:rsidRDefault="00412E44">
      <w:pPr>
        <w:spacing w:line="360" w:lineRule="auto"/>
        <w:ind w:left="360"/>
        <w:jc w:val="center"/>
        <w:rPr>
          <w:b/>
          <w:sz w:val="24"/>
          <w:szCs w:val="24"/>
          <w:lang w:val="pt-BR"/>
        </w:rPr>
      </w:pPr>
    </w:p>
    <w:p w14:paraId="4D2739CC" w14:textId="665CB10C" w:rsidR="00412E44" w:rsidRPr="00412E44" w:rsidRDefault="00412E44">
      <w:pPr>
        <w:spacing w:line="360" w:lineRule="auto"/>
        <w:ind w:left="360"/>
        <w:jc w:val="center"/>
        <w:rPr>
          <w:b/>
          <w:sz w:val="24"/>
          <w:szCs w:val="24"/>
          <w:lang w:val="pt-BR"/>
        </w:rPr>
      </w:pPr>
    </w:p>
    <w:p w14:paraId="773D577D" w14:textId="113CD709" w:rsidR="00412E44" w:rsidRPr="00412E44" w:rsidRDefault="00CA1E64">
      <w:pPr>
        <w:spacing w:line="360" w:lineRule="auto"/>
        <w:ind w:left="360"/>
        <w:jc w:val="center"/>
        <w:rPr>
          <w:b/>
          <w:sz w:val="24"/>
          <w:szCs w:val="24"/>
          <w:lang w:val="pt-BR"/>
        </w:rPr>
      </w:pPr>
      <w:r w:rsidRPr="00CA1E64">
        <w:rPr>
          <w:b/>
          <w:sz w:val="24"/>
          <w:szCs w:val="24"/>
          <w:lang w:val="pt-BR"/>
        </w:rPr>
        <w:lastRenderedPageBreak/>
        <w:t>Change control</w:t>
      </w:r>
    </w:p>
    <w:tbl>
      <w:tblPr>
        <w:tblStyle w:val="TableGrid"/>
        <w:tblW w:w="9841" w:type="dxa"/>
        <w:tblInd w:w="360" w:type="dxa"/>
        <w:tblLook w:val="04A0" w:firstRow="1" w:lastRow="0" w:firstColumn="1" w:lastColumn="0" w:noHBand="0" w:noVBand="1"/>
      </w:tblPr>
      <w:tblGrid>
        <w:gridCol w:w="2329"/>
        <w:gridCol w:w="7512"/>
      </w:tblGrid>
      <w:tr w:rsidR="00CA1E64" w:rsidRPr="00CA1E64" w14:paraId="11134F7C" w14:textId="77777777" w:rsidTr="004E2C94">
        <w:tc>
          <w:tcPr>
            <w:tcW w:w="2329" w:type="dxa"/>
          </w:tcPr>
          <w:p w14:paraId="751621ED" w14:textId="3DD7CA45" w:rsidR="00CA1E64" w:rsidRPr="00A015FA" w:rsidRDefault="00CA1E64" w:rsidP="00CA1E64">
            <w:pPr>
              <w:spacing w:line="360" w:lineRule="auto"/>
              <w:jc w:val="center"/>
              <w:rPr>
                <w:rFonts w:asciiTheme="majorHAnsi" w:hAnsiTheme="majorHAnsi" w:cstheme="majorHAnsi"/>
                <w:b/>
                <w:sz w:val="20"/>
                <w:szCs w:val="20"/>
              </w:rPr>
            </w:pPr>
            <w:r w:rsidRPr="00CA1E64">
              <w:rPr>
                <w:rFonts w:asciiTheme="majorHAnsi" w:hAnsiTheme="majorHAnsi" w:cstheme="majorHAnsi"/>
                <w:b/>
                <w:sz w:val="20"/>
                <w:szCs w:val="20"/>
              </w:rPr>
              <w:t>Date of Changes</w:t>
            </w:r>
          </w:p>
        </w:tc>
        <w:tc>
          <w:tcPr>
            <w:tcW w:w="7512" w:type="dxa"/>
          </w:tcPr>
          <w:p w14:paraId="6D20741C" w14:textId="6FA20AC7" w:rsidR="00CA1E64" w:rsidRPr="00CA1E64" w:rsidRDefault="00CA1E64" w:rsidP="00CA1E64">
            <w:pPr>
              <w:spacing w:line="360" w:lineRule="auto"/>
              <w:jc w:val="center"/>
              <w:rPr>
                <w:rFonts w:asciiTheme="majorHAnsi" w:hAnsiTheme="majorHAnsi" w:cstheme="majorHAnsi"/>
                <w:b/>
                <w:sz w:val="20"/>
                <w:szCs w:val="20"/>
                <w:lang w:val="en-US"/>
              </w:rPr>
            </w:pPr>
            <w:r w:rsidRPr="00CA1E64">
              <w:rPr>
                <w:rFonts w:asciiTheme="majorHAnsi" w:hAnsiTheme="majorHAnsi" w:cstheme="majorHAnsi"/>
                <w:b/>
                <w:sz w:val="20"/>
                <w:szCs w:val="20"/>
                <w:lang w:val="en-US"/>
              </w:rPr>
              <w:t xml:space="preserve">Summary of Changes highlighted in bold </w:t>
            </w:r>
          </w:p>
        </w:tc>
      </w:tr>
      <w:tr w:rsidR="00D71AA5" w:rsidRPr="00CA1E64" w14:paraId="33542DAE" w14:textId="77777777" w:rsidTr="004E2C94">
        <w:tc>
          <w:tcPr>
            <w:tcW w:w="2329" w:type="dxa"/>
          </w:tcPr>
          <w:p w14:paraId="146E5A8F" w14:textId="496CE218" w:rsidR="00D71AA5" w:rsidRPr="00A015FA" w:rsidRDefault="00CA1E64">
            <w:pPr>
              <w:spacing w:line="360" w:lineRule="auto"/>
              <w:jc w:val="center"/>
              <w:rPr>
                <w:rFonts w:asciiTheme="majorHAnsi" w:hAnsiTheme="majorHAnsi" w:cstheme="majorHAnsi"/>
                <w:b/>
                <w:sz w:val="20"/>
                <w:szCs w:val="20"/>
              </w:rPr>
            </w:pPr>
            <w:r>
              <w:rPr>
                <w:rFonts w:asciiTheme="majorHAnsi" w:hAnsiTheme="majorHAnsi" w:cstheme="majorHAnsi"/>
                <w:b/>
                <w:sz w:val="20"/>
                <w:szCs w:val="20"/>
              </w:rPr>
              <w:t>October</w:t>
            </w:r>
            <w:r w:rsidR="00D71AA5">
              <w:rPr>
                <w:rFonts w:asciiTheme="majorHAnsi" w:hAnsiTheme="majorHAnsi" w:cstheme="majorHAnsi"/>
                <w:b/>
                <w:sz w:val="20"/>
                <w:szCs w:val="20"/>
              </w:rPr>
              <w:t>/2021</w:t>
            </w:r>
          </w:p>
        </w:tc>
        <w:tc>
          <w:tcPr>
            <w:tcW w:w="7512" w:type="dxa"/>
          </w:tcPr>
          <w:p w14:paraId="68340387" w14:textId="69D5961B" w:rsidR="00D71AA5" w:rsidRPr="00A015FA" w:rsidRDefault="00AE2CCF" w:rsidP="00D71AA5">
            <w:pPr>
              <w:jc w:val="both"/>
              <w:rPr>
                <w:rFonts w:asciiTheme="majorHAnsi" w:hAnsiTheme="majorHAnsi" w:cstheme="majorHAnsi"/>
                <w:b/>
                <w:sz w:val="20"/>
                <w:szCs w:val="20"/>
              </w:rPr>
            </w:pPr>
            <w:r>
              <w:rPr>
                <w:rFonts w:asciiTheme="majorHAnsi" w:hAnsiTheme="majorHAnsi" w:cstheme="majorHAnsi"/>
                <w:b/>
                <w:sz w:val="20"/>
                <w:szCs w:val="20"/>
              </w:rPr>
              <w:t>Research Team</w:t>
            </w:r>
            <w:r w:rsidR="00D71AA5" w:rsidRPr="00A015FA">
              <w:rPr>
                <w:rFonts w:asciiTheme="majorHAnsi" w:hAnsiTheme="majorHAnsi" w:cstheme="majorHAnsi"/>
                <w:b/>
                <w:sz w:val="20"/>
                <w:szCs w:val="20"/>
              </w:rPr>
              <w:t xml:space="preserve">: </w:t>
            </w:r>
            <w:r w:rsidR="00D71AA5" w:rsidRPr="00905271">
              <w:rPr>
                <w:rFonts w:asciiTheme="majorHAnsi" w:hAnsiTheme="majorHAnsi" w:cstheme="majorHAnsi"/>
                <w:sz w:val="20"/>
                <w:szCs w:val="20"/>
              </w:rPr>
              <w:t>Renata Mattos,</w:t>
            </w:r>
            <w:r w:rsidR="00D71AA5" w:rsidRPr="00A015FA">
              <w:rPr>
                <w:rFonts w:asciiTheme="majorHAnsi" w:hAnsiTheme="majorHAnsi" w:cstheme="majorHAnsi"/>
                <w:sz w:val="20"/>
                <w:szCs w:val="20"/>
              </w:rPr>
              <w:t xml:space="preserve"> Rachel Rieira, Maíra Foresti,</w:t>
            </w:r>
            <w:r w:rsidR="00D71AA5" w:rsidRPr="00D71AA5">
              <w:rPr>
                <w:rFonts w:asciiTheme="majorHAnsi" w:hAnsiTheme="majorHAnsi" w:cstheme="majorHAnsi"/>
                <w:sz w:val="20"/>
                <w:szCs w:val="20"/>
              </w:rPr>
              <w:t xml:space="preserve"> </w:t>
            </w:r>
            <w:r w:rsidR="00D71AA5" w:rsidRPr="00905271">
              <w:rPr>
                <w:rFonts w:asciiTheme="majorHAnsi" w:hAnsiTheme="majorHAnsi" w:cstheme="majorHAnsi"/>
                <w:sz w:val="20"/>
                <w:szCs w:val="20"/>
              </w:rPr>
              <w:t>Carla Pinheiro, Ana Cecília Alcantara</w:t>
            </w:r>
            <w:r w:rsidR="00792ABF">
              <w:rPr>
                <w:rFonts w:asciiTheme="majorHAnsi" w:hAnsiTheme="majorHAnsi" w:cstheme="majorHAnsi"/>
                <w:sz w:val="20"/>
                <w:szCs w:val="20"/>
              </w:rPr>
              <w:t xml:space="preserve">, </w:t>
            </w:r>
            <w:r w:rsidR="00792ABF" w:rsidRPr="00905271">
              <w:rPr>
                <w:rFonts w:asciiTheme="majorHAnsi" w:hAnsiTheme="majorHAnsi" w:cstheme="majorHAnsi"/>
                <w:b/>
                <w:i/>
                <w:sz w:val="20"/>
                <w:szCs w:val="20"/>
              </w:rPr>
              <w:t>Débora Patricio</w:t>
            </w:r>
            <w:r w:rsidR="00D71AA5" w:rsidRPr="00905271">
              <w:rPr>
                <w:rFonts w:asciiTheme="majorHAnsi" w:hAnsiTheme="majorHAnsi" w:cstheme="majorHAnsi"/>
                <w:sz w:val="20"/>
                <w:szCs w:val="20"/>
              </w:rPr>
              <w:t xml:space="preserve"> </w:t>
            </w:r>
            <w:r w:rsidR="00D71AA5">
              <w:rPr>
                <w:rFonts w:asciiTheme="majorHAnsi" w:hAnsiTheme="majorHAnsi" w:cstheme="majorHAnsi"/>
                <w:b/>
                <w:i/>
                <w:sz w:val="20"/>
                <w:szCs w:val="20"/>
              </w:rPr>
              <w:t>e Mariane Luz</w:t>
            </w:r>
          </w:p>
          <w:p w14:paraId="6894E64E" w14:textId="77777777" w:rsidR="00D71AA5" w:rsidRPr="00A015FA" w:rsidRDefault="00D71AA5" w:rsidP="00206E97">
            <w:pPr>
              <w:jc w:val="both"/>
              <w:rPr>
                <w:rFonts w:asciiTheme="majorHAnsi" w:hAnsiTheme="majorHAnsi" w:cstheme="majorHAnsi"/>
                <w:b/>
                <w:sz w:val="20"/>
                <w:szCs w:val="20"/>
              </w:rPr>
            </w:pPr>
          </w:p>
        </w:tc>
      </w:tr>
      <w:tr w:rsidR="00D71AA5" w:rsidRPr="00005920" w14:paraId="4559C6AC" w14:textId="77777777" w:rsidTr="00D71AA5">
        <w:tc>
          <w:tcPr>
            <w:tcW w:w="9841" w:type="dxa"/>
            <w:gridSpan w:val="2"/>
          </w:tcPr>
          <w:p w14:paraId="443877D4" w14:textId="4CDA4B67" w:rsidR="00D71AA5" w:rsidRPr="00005920" w:rsidRDefault="00005920" w:rsidP="00005920">
            <w:pPr>
              <w:jc w:val="both"/>
              <w:rPr>
                <w:rFonts w:asciiTheme="majorHAnsi" w:hAnsiTheme="majorHAnsi" w:cstheme="majorHAnsi"/>
                <w:b/>
                <w:sz w:val="20"/>
                <w:szCs w:val="20"/>
                <w:lang w:val="en-US"/>
              </w:rPr>
            </w:pPr>
            <w:r w:rsidRPr="00005920">
              <w:rPr>
                <w:rFonts w:asciiTheme="majorHAnsi" w:hAnsiTheme="majorHAnsi" w:cstheme="majorHAnsi"/>
                <w:sz w:val="20"/>
                <w:szCs w:val="20"/>
                <w:lang w:val="en-US"/>
              </w:rPr>
              <w:t>Justification: update of team members.</w:t>
            </w:r>
          </w:p>
        </w:tc>
      </w:tr>
      <w:tr w:rsidR="00CA1E64" w:rsidRPr="00005920" w14:paraId="6A5260F8" w14:textId="77777777" w:rsidTr="004E2C94">
        <w:tc>
          <w:tcPr>
            <w:tcW w:w="2329" w:type="dxa"/>
          </w:tcPr>
          <w:p w14:paraId="20279957" w14:textId="3EA56692" w:rsidR="00CA1E64" w:rsidRPr="00A015FA" w:rsidRDefault="00CA1E64" w:rsidP="00CA1E64">
            <w:pPr>
              <w:spacing w:line="360" w:lineRule="auto"/>
              <w:jc w:val="center"/>
              <w:rPr>
                <w:rFonts w:asciiTheme="majorHAnsi" w:hAnsiTheme="majorHAnsi" w:cstheme="majorHAnsi"/>
                <w:b/>
                <w:sz w:val="20"/>
                <w:szCs w:val="20"/>
              </w:rPr>
            </w:pPr>
            <w:r>
              <w:rPr>
                <w:rFonts w:asciiTheme="majorHAnsi" w:hAnsiTheme="majorHAnsi" w:cstheme="majorHAnsi"/>
                <w:b/>
                <w:sz w:val="20"/>
                <w:szCs w:val="20"/>
              </w:rPr>
              <w:t>October/2021</w:t>
            </w:r>
          </w:p>
        </w:tc>
        <w:tc>
          <w:tcPr>
            <w:tcW w:w="7512" w:type="dxa"/>
          </w:tcPr>
          <w:p w14:paraId="38C00274" w14:textId="77777777" w:rsidR="00005920" w:rsidRPr="00005920" w:rsidRDefault="00CA1E64" w:rsidP="00005920">
            <w:pPr>
              <w:spacing w:line="360" w:lineRule="auto"/>
              <w:jc w:val="both"/>
              <w:rPr>
                <w:rFonts w:asciiTheme="majorHAnsi" w:hAnsiTheme="majorHAnsi" w:cstheme="majorHAnsi"/>
                <w:b/>
                <w:i/>
                <w:sz w:val="20"/>
                <w:szCs w:val="20"/>
                <w:lang w:val="en-US"/>
              </w:rPr>
            </w:pPr>
            <w:r w:rsidRPr="00005920">
              <w:rPr>
                <w:rFonts w:asciiTheme="majorHAnsi" w:hAnsiTheme="majorHAnsi" w:cstheme="majorHAnsi"/>
                <w:b/>
                <w:i/>
                <w:sz w:val="20"/>
                <w:szCs w:val="20"/>
                <w:lang w:val="en-US"/>
              </w:rPr>
              <w:t xml:space="preserve"> </w:t>
            </w:r>
            <w:r w:rsidR="00005920" w:rsidRPr="00005920">
              <w:rPr>
                <w:rFonts w:asciiTheme="majorHAnsi" w:hAnsiTheme="majorHAnsi" w:cstheme="majorHAnsi"/>
                <w:b/>
                <w:i/>
                <w:sz w:val="20"/>
                <w:szCs w:val="20"/>
                <w:lang w:val="en-US"/>
              </w:rPr>
              <w:t>Exclusion criteria: inclusion of items</w:t>
            </w:r>
          </w:p>
          <w:p w14:paraId="392AE38C" w14:textId="77777777" w:rsidR="00005920" w:rsidRPr="00005920" w:rsidRDefault="00005920" w:rsidP="00005920">
            <w:pPr>
              <w:spacing w:line="360" w:lineRule="auto"/>
              <w:jc w:val="both"/>
              <w:rPr>
                <w:rFonts w:asciiTheme="majorHAnsi" w:hAnsiTheme="majorHAnsi" w:cstheme="majorHAnsi"/>
                <w:b/>
                <w:i/>
                <w:sz w:val="20"/>
                <w:szCs w:val="20"/>
                <w:lang w:val="en-US"/>
              </w:rPr>
            </w:pPr>
            <w:r w:rsidRPr="00005920">
              <w:rPr>
                <w:rFonts w:asciiTheme="majorHAnsi" w:hAnsiTheme="majorHAnsi" w:cstheme="majorHAnsi"/>
                <w:b/>
                <w:i/>
                <w:sz w:val="20"/>
                <w:szCs w:val="20"/>
                <w:lang w:val="en-US"/>
              </w:rPr>
              <w:t xml:space="preserve">● Vulnerable participants, without documentation and without a fixed address and/or contact with family </w:t>
            </w:r>
            <w:proofErr w:type="gramStart"/>
            <w:r w:rsidRPr="00005920">
              <w:rPr>
                <w:rFonts w:asciiTheme="majorHAnsi" w:hAnsiTheme="majorHAnsi" w:cstheme="majorHAnsi"/>
                <w:b/>
                <w:i/>
                <w:sz w:val="20"/>
                <w:szCs w:val="20"/>
                <w:lang w:val="en-US"/>
              </w:rPr>
              <w:t>members;</w:t>
            </w:r>
            <w:proofErr w:type="gramEnd"/>
          </w:p>
          <w:p w14:paraId="2A3264D1" w14:textId="3D684FAC" w:rsidR="00CA1E64" w:rsidRPr="00005920" w:rsidRDefault="00005920" w:rsidP="00005920">
            <w:pPr>
              <w:spacing w:line="360" w:lineRule="auto"/>
              <w:jc w:val="both"/>
              <w:rPr>
                <w:rFonts w:asciiTheme="majorHAnsi" w:hAnsiTheme="majorHAnsi" w:cstheme="majorHAnsi"/>
                <w:b/>
                <w:i/>
                <w:sz w:val="20"/>
                <w:szCs w:val="20"/>
                <w:lang w:val="en-US"/>
              </w:rPr>
            </w:pPr>
            <w:r w:rsidRPr="00005920">
              <w:rPr>
                <w:rFonts w:asciiTheme="majorHAnsi" w:hAnsiTheme="majorHAnsi" w:cstheme="majorHAnsi"/>
                <w:b/>
                <w:i/>
                <w:sz w:val="20"/>
                <w:szCs w:val="20"/>
                <w:lang w:val="en-US"/>
              </w:rPr>
              <w:t>● Patients without documents and of questionable age;</w:t>
            </w:r>
          </w:p>
        </w:tc>
      </w:tr>
      <w:tr w:rsidR="00D855E9" w:rsidRPr="00005920" w14:paraId="10A2173F" w14:textId="77777777" w:rsidTr="00003B69">
        <w:tc>
          <w:tcPr>
            <w:tcW w:w="9841" w:type="dxa"/>
            <w:gridSpan w:val="2"/>
          </w:tcPr>
          <w:p w14:paraId="561B8D61" w14:textId="77777777" w:rsidR="00005920" w:rsidRPr="00005920" w:rsidRDefault="00005920" w:rsidP="00005920">
            <w:pPr>
              <w:jc w:val="both"/>
              <w:rPr>
                <w:rFonts w:asciiTheme="majorHAnsi" w:hAnsiTheme="majorHAnsi" w:cstheme="majorHAnsi"/>
                <w:sz w:val="20"/>
                <w:szCs w:val="20"/>
                <w:lang w:val="en-US"/>
              </w:rPr>
            </w:pPr>
            <w:r w:rsidRPr="00005920">
              <w:rPr>
                <w:rFonts w:asciiTheme="majorHAnsi" w:hAnsiTheme="majorHAnsi" w:cstheme="majorHAnsi"/>
                <w:sz w:val="20"/>
                <w:szCs w:val="20"/>
                <w:lang w:val="en-US"/>
              </w:rPr>
              <w:t>Justification: Added to the exclusion criteria of the research participant patients with the vulnerability profile and without documents with doubtful age, because according to the profile of the research participant of this protocol, there are several situations in which the patient enters the urgent and emergency hospital. Thus, to mitigate losses of participants in the study that provides clinical follow-up for 24 months, we added this patient profile in the exclusion criterion to facilitate the understanding of the patients' profile for the research protocol.</w:t>
            </w:r>
          </w:p>
          <w:p w14:paraId="551E90B3" w14:textId="7A0B9A33" w:rsidR="00D855E9" w:rsidRPr="00005920" w:rsidRDefault="00005920" w:rsidP="00005920">
            <w:pPr>
              <w:jc w:val="both"/>
              <w:rPr>
                <w:rFonts w:asciiTheme="majorHAnsi" w:hAnsiTheme="majorHAnsi" w:cstheme="majorHAnsi"/>
                <w:b/>
                <w:sz w:val="20"/>
                <w:szCs w:val="20"/>
                <w:lang w:val="en-US"/>
              </w:rPr>
            </w:pPr>
            <w:r w:rsidRPr="00005920">
              <w:rPr>
                <w:rFonts w:asciiTheme="majorHAnsi" w:hAnsiTheme="majorHAnsi" w:cstheme="majorHAnsi"/>
                <w:sz w:val="20"/>
                <w:szCs w:val="20"/>
                <w:lang w:val="en-US"/>
              </w:rPr>
              <w:t>Another point of exclusion refers to patients without documents and with dubious adulthood, to mitigate possible deviations from the protocol, we suggest the exclusion of the participant who is without documents at the entrance of the hospital and there are doubts about his age.</w:t>
            </w:r>
          </w:p>
        </w:tc>
      </w:tr>
      <w:tr w:rsidR="00CA1E64" w:rsidRPr="00005920" w14:paraId="7F4DB29C" w14:textId="77777777" w:rsidTr="004E2C94">
        <w:tc>
          <w:tcPr>
            <w:tcW w:w="2329" w:type="dxa"/>
          </w:tcPr>
          <w:p w14:paraId="6DF803C7" w14:textId="6A07076C" w:rsidR="00CA1E64" w:rsidRPr="00A015FA" w:rsidRDefault="00CA1E64" w:rsidP="00CA1E64">
            <w:pPr>
              <w:spacing w:line="360" w:lineRule="auto"/>
              <w:jc w:val="center"/>
              <w:rPr>
                <w:rFonts w:asciiTheme="majorHAnsi" w:hAnsiTheme="majorHAnsi" w:cstheme="majorHAnsi"/>
                <w:b/>
                <w:sz w:val="20"/>
                <w:szCs w:val="20"/>
              </w:rPr>
            </w:pPr>
            <w:r>
              <w:rPr>
                <w:rFonts w:asciiTheme="majorHAnsi" w:hAnsiTheme="majorHAnsi" w:cstheme="majorHAnsi"/>
                <w:b/>
                <w:sz w:val="20"/>
                <w:szCs w:val="20"/>
              </w:rPr>
              <w:t>October/2021</w:t>
            </w:r>
          </w:p>
        </w:tc>
        <w:tc>
          <w:tcPr>
            <w:tcW w:w="7512" w:type="dxa"/>
          </w:tcPr>
          <w:p w14:paraId="0819E1B9" w14:textId="77777777" w:rsidR="00005920" w:rsidRPr="00005920" w:rsidRDefault="00005920" w:rsidP="00005920">
            <w:pPr>
              <w:spacing w:line="360" w:lineRule="auto"/>
              <w:jc w:val="both"/>
              <w:rPr>
                <w:rFonts w:asciiTheme="majorHAnsi" w:hAnsiTheme="majorHAnsi" w:cstheme="majorHAnsi"/>
                <w:lang w:val="en-US"/>
              </w:rPr>
            </w:pPr>
            <w:r w:rsidRPr="00005920">
              <w:rPr>
                <w:rFonts w:asciiTheme="majorHAnsi" w:hAnsiTheme="majorHAnsi" w:cstheme="majorHAnsi"/>
                <w:lang w:val="en-US"/>
              </w:rPr>
              <w:t>Exclusion Criteria: Item Exclusion</w:t>
            </w:r>
          </w:p>
          <w:p w14:paraId="5EB5CB86" w14:textId="63F539A2" w:rsidR="00CA1E64" w:rsidRPr="00005920" w:rsidRDefault="00005920" w:rsidP="00005920">
            <w:pPr>
              <w:spacing w:line="360" w:lineRule="auto"/>
              <w:jc w:val="both"/>
              <w:rPr>
                <w:rFonts w:asciiTheme="majorHAnsi" w:hAnsiTheme="majorHAnsi" w:cstheme="majorHAnsi"/>
                <w:lang w:val="en-US"/>
              </w:rPr>
            </w:pPr>
            <w:r w:rsidRPr="00005920">
              <w:rPr>
                <w:rFonts w:asciiTheme="majorHAnsi" w:hAnsiTheme="majorHAnsi" w:cstheme="majorHAnsi"/>
                <w:lang w:val="en-US"/>
              </w:rPr>
              <w:t>● Family history of epilepsy in first-degree relatives;</w:t>
            </w:r>
          </w:p>
        </w:tc>
      </w:tr>
      <w:tr w:rsidR="00832788" w:rsidRPr="00005920" w14:paraId="232B94BB" w14:textId="77777777" w:rsidTr="00003B69">
        <w:tc>
          <w:tcPr>
            <w:tcW w:w="9841" w:type="dxa"/>
            <w:gridSpan w:val="2"/>
          </w:tcPr>
          <w:p w14:paraId="7CDC1C03" w14:textId="75F7DF1C" w:rsidR="00832788" w:rsidRPr="00005920" w:rsidRDefault="00005920" w:rsidP="00832788">
            <w:pPr>
              <w:jc w:val="both"/>
              <w:rPr>
                <w:rFonts w:asciiTheme="majorHAnsi" w:hAnsiTheme="majorHAnsi" w:cstheme="majorHAnsi"/>
                <w:sz w:val="20"/>
                <w:szCs w:val="20"/>
                <w:lang w:val="en-US"/>
              </w:rPr>
            </w:pPr>
            <w:r w:rsidRPr="00005920">
              <w:rPr>
                <w:rFonts w:asciiTheme="majorHAnsi" w:hAnsiTheme="majorHAnsi" w:cstheme="majorHAnsi"/>
                <w:sz w:val="20"/>
                <w:szCs w:val="20"/>
                <w:lang w:val="en-US"/>
              </w:rPr>
              <w:t>Justification: removed from the research participant exclusion criteria patients with a family history of epilepsy in first-degree relatives, as this criterion is not an impediment for the individual to participate in the study. It is even relevant to identify a possible genetic influence on the development of post-traumatic epilepsy in subjects with a history of close family members with epilepsy.</w:t>
            </w:r>
          </w:p>
        </w:tc>
      </w:tr>
      <w:tr w:rsidR="00CA1E64" w:rsidRPr="00005920" w14:paraId="67BE4A69" w14:textId="77777777" w:rsidTr="004E2C94">
        <w:tc>
          <w:tcPr>
            <w:tcW w:w="2329" w:type="dxa"/>
          </w:tcPr>
          <w:p w14:paraId="00ACFC3B" w14:textId="05B4BA71" w:rsidR="00CA1E64" w:rsidRPr="00A015FA" w:rsidRDefault="00CA1E64" w:rsidP="00CA1E64">
            <w:pPr>
              <w:spacing w:line="360" w:lineRule="auto"/>
              <w:jc w:val="center"/>
              <w:rPr>
                <w:rFonts w:asciiTheme="majorHAnsi" w:hAnsiTheme="majorHAnsi" w:cstheme="majorHAnsi"/>
                <w:b/>
                <w:sz w:val="20"/>
                <w:szCs w:val="20"/>
              </w:rPr>
            </w:pPr>
            <w:r>
              <w:rPr>
                <w:rFonts w:asciiTheme="majorHAnsi" w:hAnsiTheme="majorHAnsi" w:cstheme="majorHAnsi"/>
                <w:b/>
                <w:sz w:val="20"/>
                <w:szCs w:val="20"/>
              </w:rPr>
              <w:t>October/2021</w:t>
            </w:r>
          </w:p>
        </w:tc>
        <w:tc>
          <w:tcPr>
            <w:tcW w:w="7512" w:type="dxa"/>
          </w:tcPr>
          <w:p w14:paraId="07552021" w14:textId="38CCB95F" w:rsidR="00CA1E64" w:rsidRPr="00005920" w:rsidRDefault="00005920" w:rsidP="00005920">
            <w:pPr>
              <w:spacing w:after="160"/>
              <w:jc w:val="both"/>
              <w:rPr>
                <w:rFonts w:asciiTheme="majorHAnsi" w:hAnsiTheme="majorHAnsi" w:cstheme="majorHAnsi"/>
                <w:b/>
                <w:sz w:val="20"/>
                <w:szCs w:val="20"/>
                <w:lang w:val="en-US"/>
              </w:rPr>
            </w:pPr>
            <w:r w:rsidRPr="00005920">
              <w:rPr>
                <w:rFonts w:asciiTheme="majorHAnsi" w:hAnsiTheme="majorHAnsi" w:cstheme="majorHAnsi"/>
                <w:b/>
                <w:sz w:val="20"/>
                <w:szCs w:val="20"/>
                <w:lang w:val="en-US"/>
              </w:rPr>
              <w:t>Exclusion of the use of Medication Log to control protocol adherence the center must log prescribed and administered medication/placebo</w:t>
            </w:r>
          </w:p>
        </w:tc>
      </w:tr>
      <w:tr w:rsidR="00236AE2" w:rsidRPr="00005920" w14:paraId="22FE3E6C" w14:textId="77777777" w:rsidTr="00C31127">
        <w:tc>
          <w:tcPr>
            <w:tcW w:w="9841" w:type="dxa"/>
            <w:gridSpan w:val="2"/>
          </w:tcPr>
          <w:p w14:paraId="02FF9B87" w14:textId="08EE28A3" w:rsidR="00236AE2" w:rsidRPr="00005920" w:rsidRDefault="00005920">
            <w:pPr>
              <w:jc w:val="both"/>
              <w:rPr>
                <w:rFonts w:asciiTheme="majorHAnsi" w:hAnsiTheme="majorHAnsi" w:cstheme="majorHAnsi"/>
                <w:sz w:val="20"/>
                <w:szCs w:val="20"/>
                <w:lang w:val="en-US"/>
              </w:rPr>
            </w:pPr>
            <w:r w:rsidRPr="00005920">
              <w:rPr>
                <w:rFonts w:asciiTheme="majorHAnsi" w:hAnsiTheme="majorHAnsi" w:cstheme="majorHAnsi"/>
                <w:sz w:val="20"/>
                <w:szCs w:val="20"/>
                <w:lang w:val="en-US"/>
              </w:rPr>
              <w:t>Justification: We will not use a manual control medication log, as the coordinating center is developing an electronic form (</w:t>
            </w:r>
            <w:proofErr w:type="spellStart"/>
            <w:r w:rsidRPr="00005920">
              <w:rPr>
                <w:rFonts w:asciiTheme="majorHAnsi" w:hAnsiTheme="majorHAnsi" w:cstheme="majorHAnsi"/>
                <w:sz w:val="20"/>
                <w:szCs w:val="20"/>
                <w:lang w:val="en-US"/>
              </w:rPr>
              <w:t>REDCap</w:t>
            </w:r>
            <w:proofErr w:type="spellEnd"/>
            <w:r w:rsidRPr="00005920">
              <w:rPr>
                <w:rFonts w:asciiTheme="majorHAnsi" w:hAnsiTheme="majorHAnsi" w:cstheme="majorHAnsi"/>
                <w:sz w:val="20"/>
                <w:szCs w:val="20"/>
                <w:lang w:val="en-US"/>
              </w:rPr>
              <w:t xml:space="preserve">) to which the research team will have access with all the dates scheduled for the nursing team to administer the medication and an electronic form ( </w:t>
            </w:r>
            <w:proofErr w:type="spellStart"/>
            <w:r w:rsidRPr="00005920">
              <w:rPr>
                <w:rFonts w:asciiTheme="majorHAnsi" w:hAnsiTheme="majorHAnsi" w:cstheme="majorHAnsi"/>
                <w:sz w:val="20"/>
                <w:szCs w:val="20"/>
                <w:lang w:val="en-US"/>
              </w:rPr>
              <w:t>REDCap</w:t>
            </w:r>
            <w:proofErr w:type="spellEnd"/>
            <w:r w:rsidRPr="00005920">
              <w:rPr>
                <w:rFonts w:asciiTheme="majorHAnsi" w:hAnsiTheme="majorHAnsi" w:cstheme="majorHAnsi"/>
                <w:sz w:val="20"/>
                <w:szCs w:val="20"/>
                <w:lang w:val="en-US"/>
              </w:rPr>
              <w:t>) for the registration of the real administered date and time and this will be the official project data.</w:t>
            </w:r>
          </w:p>
        </w:tc>
      </w:tr>
      <w:tr w:rsidR="00CA1E64" w:rsidRPr="00005920" w14:paraId="550CCDE5" w14:textId="77777777" w:rsidTr="004E2C94">
        <w:tc>
          <w:tcPr>
            <w:tcW w:w="2329" w:type="dxa"/>
          </w:tcPr>
          <w:p w14:paraId="0A24B155" w14:textId="120697CA" w:rsidR="00CA1E64" w:rsidRPr="00A015FA" w:rsidRDefault="00CA1E64" w:rsidP="00CA1E64">
            <w:pPr>
              <w:spacing w:line="360" w:lineRule="auto"/>
              <w:jc w:val="center"/>
              <w:rPr>
                <w:rFonts w:asciiTheme="majorHAnsi" w:hAnsiTheme="majorHAnsi" w:cstheme="majorHAnsi"/>
                <w:b/>
                <w:sz w:val="20"/>
                <w:szCs w:val="20"/>
              </w:rPr>
            </w:pPr>
            <w:r>
              <w:rPr>
                <w:rFonts w:asciiTheme="majorHAnsi" w:hAnsiTheme="majorHAnsi" w:cstheme="majorHAnsi"/>
                <w:b/>
                <w:sz w:val="20"/>
                <w:szCs w:val="20"/>
              </w:rPr>
              <w:t>October/2021</w:t>
            </w:r>
          </w:p>
        </w:tc>
        <w:tc>
          <w:tcPr>
            <w:tcW w:w="7512" w:type="dxa"/>
          </w:tcPr>
          <w:p w14:paraId="3CB3B3FD" w14:textId="50DD20DD" w:rsidR="00CA1E64" w:rsidRPr="00005920" w:rsidRDefault="00005920" w:rsidP="00CA1E64">
            <w:pPr>
              <w:jc w:val="both"/>
              <w:rPr>
                <w:rFonts w:asciiTheme="majorHAnsi" w:hAnsiTheme="majorHAnsi" w:cstheme="majorHAnsi"/>
                <w:b/>
                <w:sz w:val="20"/>
                <w:szCs w:val="20"/>
                <w:lang w:val="en-US"/>
              </w:rPr>
            </w:pPr>
            <w:r w:rsidRPr="00005920">
              <w:rPr>
                <w:rFonts w:asciiTheme="majorHAnsi" w:hAnsiTheme="majorHAnsi" w:cstheme="majorHAnsi"/>
                <w:sz w:val="20"/>
                <w:szCs w:val="20"/>
                <w:lang w:val="en-US"/>
              </w:rPr>
              <w:t xml:space="preserve">Within the 12-hour period after TBI, participants in the placebo group will receive 1mL of </w:t>
            </w:r>
            <w:r w:rsidRPr="00005920">
              <w:rPr>
                <w:rFonts w:asciiTheme="majorHAnsi" w:hAnsiTheme="majorHAnsi" w:cstheme="majorHAnsi"/>
                <w:b/>
                <w:bCs/>
                <w:sz w:val="20"/>
                <w:szCs w:val="20"/>
                <w:lang w:val="en-US"/>
              </w:rPr>
              <w:t>the same excipient used in the production of the active drug,</w:t>
            </w:r>
            <w:r w:rsidRPr="00005920">
              <w:rPr>
                <w:rFonts w:asciiTheme="majorHAnsi" w:hAnsiTheme="majorHAnsi" w:cstheme="majorHAnsi"/>
                <w:sz w:val="20"/>
                <w:szCs w:val="20"/>
                <w:lang w:val="en-US"/>
              </w:rPr>
              <w:t xml:space="preserve"> which will be diluted in 10 mL of 0.9% saline and slowly applied intravenously.</w:t>
            </w:r>
          </w:p>
        </w:tc>
      </w:tr>
      <w:tr w:rsidR="00C31127" w:rsidRPr="00005920" w14:paraId="420F799B" w14:textId="77777777" w:rsidTr="00C31127">
        <w:tc>
          <w:tcPr>
            <w:tcW w:w="9841" w:type="dxa"/>
            <w:gridSpan w:val="2"/>
          </w:tcPr>
          <w:p w14:paraId="7FFA5803" w14:textId="11F2C8BC" w:rsidR="00C31127" w:rsidRPr="00005920" w:rsidRDefault="00005920">
            <w:pPr>
              <w:jc w:val="both"/>
              <w:rPr>
                <w:rFonts w:asciiTheme="majorHAnsi" w:hAnsiTheme="majorHAnsi" w:cstheme="majorHAnsi"/>
                <w:b/>
                <w:sz w:val="20"/>
                <w:szCs w:val="20"/>
                <w:lang w:val="en-US"/>
              </w:rPr>
            </w:pPr>
            <w:r w:rsidRPr="00005920">
              <w:rPr>
                <w:rFonts w:asciiTheme="majorHAnsi" w:hAnsiTheme="majorHAnsi" w:cstheme="majorHAnsi"/>
                <w:sz w:val="20"/>
                <w:szCs w:val="20"/>
                <w:lang w:val="en-US"/>
              </w:rPr>
              <w:t xml:space="preserve">Justification: Update on the composition of the placebo that will be provided by the company </w:t>
            </w:r>
            <w:proofErr w:type="spellStart"/>
            <w:r w:rsidRPr="00005920">
              <w:rPr>
                <w:rFonts w:asciiTheme="majorHAnsi" w:hAnsiTheme="majorHAnsi" w:cstheme="majorHAnsi"/>
                <w:sz w:val="20"/>
                <w:szCs w:val="20"/>
                <w:lang w:val="en-US"/>
              </w:rPr>
              <w:t>Cristália</w:t>
            </w:r>
            <w:proofErr w:type="spellEnd"/>
            <w:r w:rsidRPr="00005920">
              <w:rPr>
                <w:rFonts w:asciiTheme="majorHAnsi" w:hAnsiTheme="majorHAnsi" w:cstheme="majorHAnsi"/>
                <w:sz w:val="20"/>
                <w:szCs w:val="20"/>
                <w:lang w:val="en-US"/>
              </w:rPr>
              <w:t xml:space="preserve">, in the initial protocol the placebo composed of 1 mL of 0.9% saline would be provided by another company. However, when we get a partnership with the pharmaceutical industry </w:t>
            </w:r>
            <w:proofErr w:type="spellStart"/>
            <w:r w:rsidRPr="00005920">
              <w:rPr>
                <w:rFonts w:asciiTheme="majorHAnsi" w:hAnsiTheme="majorHAnsi" w:cstheme="majorHAnsi"/>
                <w:sz w:val="20"/>
                <w:szCs w:val="20"/>
                <w:lang w:val="en-US"/>
              </w:rPr>
              <w:t>cristália</w:t>
            </w:r>
            <w:proofErr w:type="spellEnd"/>
            <w:r w:rsidRPr="00005920">
              <w:rPr>
                <w:rFonts w:asciiTheme="majorHAnsi" w:hAnsiTheme="majorHAnsi" w:cstheme="majorHAnsi"/>
                <w:sz w:val="20"/>
                <w:szCs w:val="20"/>
                <w:lang w:val="en-US"/>
              </w:rPr>
              <w:t>, we will continue with the standard produced by them.</w:t>
            </w:r>
          </w:p>
        </w:tc>
      </w:tr>
      <w:tr w:rsidR="00D71AA5" w:rsidRPr="00CA1E64" w14:paraId="370282B6" w14:textId="77777777" w:rsidTr="004E2C94">
        <w:tc>
          <w:tcPr>
            <w:tcW w:w="2329" w:type="dxa"/>
          </w:tcPr>
          <w:p w14:paraId="2CDCFE85" w14:textId="19FBC819" w:rsidR="00D71AA5" w:rsidRPr="00A015FA" w:rsidRDefault="00D71AA5"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sidR="00CA1E64">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tcPr>
          <w:p w14:paraId="6BA882A7" w14:textId="655DFA63" w:rsidR="00D71AA5" w:rsidRPr="00A015FA" w:rsidRDefault="00005920" w:rsidP="00D71AA5">
            <w:pPr>
              <w:jc w:val="both"/>
              <w:rPr>
                <w:rFonts w:asciiTheme="majorHAnsi" w:hAnsiTheme="majorHAnsi" w:cstheme="majorHAnsi"/>
                <w:b/>
                <w:sz w:val="20"/>
                <w:szCs w:val="20"/>
              </w:rPr>
            </w:pPr>
            <w:r>
              <w:rPr>
                <w:rFonts w:asciiTheme="majorHAnsi" w:hAnsiTheme="majorHAnsi" w:cstheme="majorHAnsi"/>
                <w:b/>
                <w:sz w:val="20"/>
                <w:szCs w:val="20"/>
              </w:rPr>
              <w:t>Reasearch Team</w:t>
            </w:r>
            <w:r w:rsidR="00D71AA5" w:rsidRPr="00A015FA">
              <w:rPr>
                <w:rFonts w:asciiTheme="majorHAnsi" w:hAnsiTheme="majorHAnsi" w:cstheme="majorHAnsi"/>
                <w:b/>
                <w:sz w:val="20"/>
                <w:szCs w:val="20"/>
              </w:rPr>
              <w:t xml:space="preserve">: </w:t>
            </w:r>
            <w:r w:rsidR="00D71AA5" w:rsidRPr="00A015FA">
              <w:rPr>
                <w:rFonts w:asciiTheme="majorHAnsi" w:hAnsiTheme="majorHAnsi" w:cstheme="majorHAnsi"/>
                <w:b/>
                <w:i/>
                <w:sz w:val="20"/>
                <w:szCs w:val="20"/>
              </w:rPr>
              <w:t>Renata Mattos,</w:t>
            </w:r>
            <w:r w:rsidR="00D71AA5" w:rsidRPr="00A015FA">
              <w:rPr>
                <w:rFonts w:asciiTheme="majorHAnsi" w:hAnsiTheme="majorHAnsi" w:cstheme="majorHAnsi"/>
                <w:sz w:val="20"/>
                <w:szCs w:val="20"/>
              </w:rPr>
              <w:t xml:space="preserve"> Rachel Rieira, </w:t>
            </w:r>
            <w:r w:rsidR="00D71AA5" w:rsidRPr="00175B15">
              <w:rPr>
                <w:rFonts w:asciiTheme="majorHAnsi" w:hAnsiTheme="majorHAnsi" w:cstheme="majorHAnsi"/>
                <w:strike/>
                <w:sz w:val="20"/>
                <w:szCs w:val="20"/>
              </w:rPr>
              <w:t>Flávia Regina Bueno</w:t>
            </w:r>
            <w:r w:rsidR="00D71AA5" w:rsidRPr="00A015FA">
              <w:rPr>
                <w:rFonts w:asciiTheme="majorHAnsi" w:hAnsiTheme="majorHAnsi" w:cstheme="majorHAnsi"/>
                <w:sz w:val="20"/>
                <w:szCs w:val="20"/>
              </w:rPr>
              <w:t xml:space="preserve">, Maíra Foresti, </w:t>
            </w:r>
            <w:r w:rsidR="00D71AA5" w:rsidRPr="00A015FA">
              <w:rPr>
                <w:rFonts w:asciiTheme="majorHAnsi" w:hAnsiTheme="majorHAnsi" w:cstheme="majorHAnsi"/>
                <w:b/>
                <w:i/>
                <w:sz w:val="20"/>
                <w:szCs w:val="20"/>
              </w:rPr>
              <w:t>Carla Pinheiro, Ana Cecília Alcantara</w:t>
            </w:r>
          </w:p>
          <w:p w14:paraId="351D102E" w14:textId="77777777" w:rsidR="00D71AA5" w:rsidRPr="00A015FA" w:rsidRDefault="00D71AA5" w:rsidP="00D71AA5">
            <w:pPr>
              <w:jc w:val="both"/>
              <w:rPr>
                <w:rFonts w:asciiTheme="majorHAnsi" w:hAnsiTheme="majorHAnsi" w:cstheme="majorHAnsi"/>
                <w:b/>
                <w:sz w:val="20"/>
                <w:szCs w:val="20"/>
              </w:rPr>
            </w:pPr>
          </w:p>
        </w:tc>
      </w:tr>
      <w:tr w:rsidR="00D71AA5" w:rsidRPr="00CA1E64" w14:paraId="0D27D83F" w14:textId="77777777" w:rsidTr="004E2C94">
        <w:tc>
          <w:tcPr>
            <w:tcW w:w="9841" w:type="dxa"/>
            <w:gridSpan w:val="2"/>
          </w:tcPr>
          <w:p w14:paraId="4C16437C" w14:textId="0228365F" w:rsidR="00D71AA5" w:rsidRPr="00A015FA" w:rsidRDefault="00005920" w:rsidP="00005920">
            <w:pPr>
              <w:jc w:val="both"/>
              <w:rPr>
                <w:rFonts w:asciiTheme="majorHAnsi" w:hAnsiTheme="majorHAnsi" w:cstheme="majorHAnsi"/>
                <w:sz w:val="20"/>
                <w:szCs w:val="20"/>
              </w:rPr>
            </w:pPr>
            <w:r w:rsidRPr="00005920">
              <w:rPr>
                <w:rFonts w:asciiTheme="majorHAnsi" w:hAnsiTheme="majorHAnsi" w:cstheme="majorHAnsi"/>
                <w:sz w:val="20"/>
                <w:szCs w:val="20"/>
              </w:rPr>
              <w:t>Rationale: adding team members.</w:t>
            </w:r>
          </w:p>
        </w:tc>
      </w:tr>
      <w:tr w:rsidR="00D71AA5" w:rsidRPr="00005920" w14:paraId="3F5F4B79" w14:textId="77777777" w:rsidTr="004E2C94">
        <w:tc>
          <w:tcPr>
            <w:tcW w:w="2329" w:type="dxa"/>
          </w:tcPr>
          <w:p w14:paraId="51618139" w14:textId="231FC81A" w:rsidR="00D71AA5" w:rsidRPr="00A015FA" w:rsidRDefault="00CA1E64"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vAlign w:val="bottom"/>
          </w:tcPr>
          <w:p w14:paraId="24A7406D" w14:textId="68D06028" w:rsidR="00D71AA5" w:rsidRPr="00005920" w:rsidRDefault="00005920" w:rsidP="00D71AA5">
            <w:pPr>
              <w:jc w:val="both"/>
              <w:rPr>
                <w:rFonts w:asciiTheme="majorHAnsi" w:hAnsiTheme="majorHAnsi" w:cstheme="majorHAnsi"/>
                <w:b/>
                <w:sz w:val="20"/>
                <w:szCs w:val="20"/>
                <w:lang w:val="en-US"/>
              </w:rPr>
            </w:pPr>
            <w:r w:rsidRPr="00005920">
              <w:rPr>
                <w:rFonts w:asciiTheme="majorHAnsi" w:hAnsiTheme="majorHAnsi" w:cstheme="majorHAnsi"/>
                <w:sz w:val="20"/>
                <w:szCs w:val="20"/>
                <w:lang w:val="en-US"/>
              </w:rPr>
              <w:t xml:space="preserve">Upon inclusion, the following information will be collected in </w:t>
            </w:r>
            <w:r w:rsidRPr="00005920">
              <w:rPr>
                <w:rFonts w:asciiTheme="majorHAnsi" w:hAnsiTheme="majorHAnsi" w:cstheme="majorHAnsi"/>
                <w:b/>
                <w:bCs/>
                <w:sz w:val="20"/>
                <w:szCs w:val="20"/>
                <w:lang w:val="en-US"/>
              </w:rPr>
              <w:t xml:space="preserve">a standardized form on a widely used electronic platform called </w:t>
            </w:r>
            <w:proofErr w:type="spellStart"/>
            <w:r w:rsidRPr="00005920">
              <w:rPr>
                <w:rFonts w:asciiTheme="majorHAnsi" w:hAnsiTheme="majorHAnsi" w:cstheme="majorHAnsi"/>
                <w:b/>
                <w:bCs/>
                <w:sz w:val="20"/>
                <w:szCs w:val="20"/>
                <w:lang w:val="en-US"/>
              </w:rPr>
              <w:t>RedCap</w:t>
            </w:r>
            <w:proofErr w:type="spellEnd"/>
          </w:p>
        </w:tc>
      </w:tr>
      <w:tr w:rsidR="00D71AA5" w:rsidRPr="00005920" w14:paraId="28AEC364" w14:textId="77777777" w:rsidTr="004E2C94">
        <w:tc>
          <w:tcPr>
            <w:tcW w:w="9841" w:type="dxa"/>
            <w:gridSpan w:val="2"/>
          </w:tcPr>
          <w:p w14:paraId="48E58867" w14:textId="2ADD5EB6" w:rsidR="00D71AA5" w:rsidRPr="00005920" w:rsidRDefault="00005920" w:rsidP="00D71AA5">
            <w:pPr>
              <w:jc w:val="both"/>
              <w:rPr>
                <w:rFonts w:asciiTheme="majorHAnsi" w:hAnsiTheme="majorHAnsi" w:cstheme="majorHAnsi"/>
                <w:sz w:val="20"/>
                <w:szCs w:val="20"/>
                <w:lang w:val="en-US"/>
              </w:rPr>
            </w:pPr>
            <w:r w:rsidRPr="00005920">
              <w:rPr>
                <w:rFonts w:asciiTheme="majorHAnsi" w:hAnsiTheme="majorHAnsi" w:cstheme="majorHAnsi"/>
                <w:sz w:val="20"/>
                <w:szCs w:val="20"/>
                <w:lang w:val="en-US"/>
              </w:rPr>
              <w:t xml:space="preserve">Justification: addition of the use of an electronic platform for better monitoring of data, </w:t>
            </w:r>
            <w:proofErr w:type="gramStart"/>
            <w:r w:rsidRPr="00005920">
              <w:rPr>
                <w:rFonts w:asciiTheme="majorHAnsi" w:hAnsiTheme="majorHAnsi" w:cstheme="majorHAnsi"/>
                <w:sz w:val="20"/>
                <w:szCs w:val="20"/>
                <w:lang w:val="en-US"/>
              </w:rPr>
              <w:t>traceability</w:t>
            </w:r>
            <w:proofErr w:type="gramEnd"/>
            <w:r w:rsidRPr="00005920">
              <w:rPr>
                <w:rFonts w:asciiTheme="majorHAnsi" w:hAnsiTheme="majorHAnsi" w:cstheme="majorHAnsi"/>
                <w:sz w:val="20"/>
                <w:szCs w:val="20"/>
                <w:lang w:val="en-US"/>
              </w:rPr>
              <w:t xml:space="preserve"> and security.</w:t>
            </w:r>
          </w:p>
        </w:tc>
      </w:tr>
      <w:tr w:rsidR="00D71AA5" w:rsidRPr="00005920" w14:paraId="00AE51C7" w14:textId="77777777" w:rsidTr="004E2C94">
        <w:tc>
          <w:tcPr>
            <w:tcW w:w="2329" w:type="dxa"/>
          </w:tcPr>
          <w:p w14:paraId="6BE9EDDA" w14:textId="2C0CB0C2" w:rsidR="00D71AA5" w:rsidRPr="00A015FA" w:rsidRDefault="00CA1E64"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vAlign w:val="bottom"/>
          </w:tcPr>
          <w:p w14:paraId="0856B019" w14:textId="7C5E0D39" w:rsidR="00D71AA5" w:rsidRPr="00005920" w:rsidRDefault="00005920" w:rsidP="00D71AA5">
            <w:pPr>
              <w:jc w:val="both"/>
              <w:rPr>
                <w:rFonts w:asciiTheme="majorHAnsi" w:hAnsiTheme="majorHAnsi" w:cstheme="majorHAnsi"/>
                <w:b/>
                <w:sz w:val="20"/>
                <w:szCs w:val="20"/>
                <w:lang w:val="en-US"/>
              </w:rPr>
            </w:pPr>
            <w:r w:rsidRPr="00005920">
              <w:rPr>
                <w:rFonts w:asciiTheme="majorHAnsi" w:hAnsiTheme="majorHAnsi" w:cstheme="majorHAnsi"/>
                <w:sz w:val="20"/>
                <w:szCs w:val="20"/>
                <w:lang w:val="en-US"/>
              </w:rPr>
              <w:t>Thus, 156 participants would be needed in each group, and the inclusion of 312 participants is planned.</w:t>
            </w:r>
          </w:p>
        </w:tc>
      </w:tr>
      <w:tr w:rsidR="00D71AA5" w:rsidRPr="00005920" w14:paraId="0ED09A58" w14:textId="77777777" w:rsidTr="00005920">
        <w:trPr>
          <w:trHeight w:val="269"/>
        </w:trPr>
        <w:tc>
          <w:tcPr>
            <w:tcW w:w="9841" w:type="dxa"/>
            <w:gridSpan w:val="2"/>
          </w:tcPr>
          <w:p w14:paraId="1DE5AAA7" w14:textId="5A01C512" w:rsidR="00D71AA5" w:rsidRPr="00005920" w:rsidRDefault="00005920" w:rsidP="00D71AA5">
            <w:pPr>
              <w:spacing w:before="240" w:after="240"/>
              <w:jc w:val="both"/>
              <w:rPr>
                <w:rFonts w:asciiTheme="majorHAnsi" w:hAnsiTheme="majorHAnsi" w:cstheme="majorHAnsi"/>
                <w:sz w:val="20"/>
                <w:szCs w:val="20"/>
                <w:lang w:val="en-US"/>
              </w:rPr>
            </w:pPr>
            <w:r w:rsidRPr="00005920">
              <w:rPr>
                <w:rFonts w:asciiTheme="majorHAnsi" w:hAnsiTheme="majorHAnsi" w:cstheme="majorHAnsi"/>
                <w:sz w:val="20"/>
                <w:szCs w:val="20"/>
                <w:lang w:val="en-US"/>
              </w:rPr>
              <w:lastRenderedPageBreak/>
              <w:t>Justification: New sample calculation for the study, addition of research participants for robustness of results.</w:t>
            </w:r>
          </w:p>
        </w:tc>
      </w:tr>
      <w:tr w:rsidR="00D71AA5" w:rsidRPr="00005920" w14:paraId="485B67D6" w14:textId="77777777" w:rsidTr="00905271">
        <w:trPr>
          <w:trHeight w:val="1139"/>
        </w:trPr>
        <w:tc>
          <w:tcPr>
            <w:tcW w:w="2329" w:type="dxa"/>
          </w:tcPr>
          <w:p w14:paraId="6F3FB27A" w14:textId="738D2043" w:rsidR="00D71AA5" w:rsidRPr="00A015FA" w:rsidRDefault="00CA1E64"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vAlign w:val="bottom"/>
          </w:tcPr>
          <w:p w14:paraId="79AEF78A" w14:textId="2B57BBBB" w:rsidR="00D71AA5" w:rsidRPr="00005920" w:rsidRDefault="00005920" w:rsidP="00D71AA5">
            <w:pPr>
              <w:spacing w:before="240" w:after="240"/>
              <w:jc w:val="both"/>
              <w:rPr>
                <w:rFonts w:asciiTheme="majorHAnsi" w:hAnsiTheme="majorHAnsi" w:cstheme="majorHAnsi"/>
                <w:b/>
                <w:sz w:val="20"/>
                <w:szCs w:val="20"/>
                <w:lang w:val="en-US"/>
              </w:rPr>
            </w:pPr>
            <w:r w:rsidRPr="00005920">
              <w:rPr>
                <w:rFonts w:asciiTheme="majorHAnsi" w:hAnsiTheme="majorHAnsi" w:cstheme="majorHAnsi"/>
                <w:sz w:val="20"/>
                <w:szCs w:val="20"/>
                <w:lang w:val="en-US"/>
              </w:rPr>
              <w:t xml:space="preserve">In case of hospital discharge within a period of less than 10 days, </w:t>
            </w:r>
            <w:r w:rsidRPr="00005920">
              <w:rPr>
                <w:rFonts w:asciiTheme="majorHAnsi" w:hAnsiTheme="majorHAnsi" w:cstheme="majorHAnsi"/>
                <w:b/>
                <w:bCs/>
                <w:sz w:val="20"/>
                <w:szCs w:val="20"/>
                <w:lang w:val="en-US"/>
              </w:rPr>
              <w:t>the participant may be included in the study analysis (by intention to treat) if he/she has used 30 doses or more of Biperiden. If the participant has not reached these 30 minimum doses, a protocol deviation notification will be made.</w:t>
            </w:r>
          </w:p>
        </w:tc>
      </w:tr>
      <w:tr w:rsidR="00D71AA5" w:rsidRPr="008F33FF" w14:paraId="2FDDFFF3" w14:textId="77777777" w:rsidTr="004E2C94">
        <w:trPr>
          <w:trHeight w:val="419"/>
        </w:trPr>
        <w:tc>
          <w:tcPr>
            <w:tcW w:w="9841" w:type="dxa"/>
            <w:gridSpan w:val="2"/>
          </w:tcPr>
          <w:p w14:paraId="4D7C2D2D" w14:textId="1CA77638" w:rsidR="00D71AA5" w:rsidRPr="008F33FF" w:rsidRDefault="008F33FF" w:rsidP="00D71AA5">
            <w:pPr>
              <w:spacing w:before="240" w:after="240"/>
              <w:jc w:val="both"/>
              <w:rPr>
                <w:rFonts w:asciiTheme="majorHAnsi" w:hAnsiTheme="majorHAnsi" w:cstheme="majorHAnsi"/>
                <w:sz w:val="20"/>
                <w:szCs w:val="20"/>
                <w:lang w:val="en-US"/>
              </w:rPr>
            </w:pPr>
            <w:r w:rsidRPr="008F33FF">
              <w:rPr>
                <w:rFonts w:asciiTheme="majorHAnsi" w:hAnsiTheme="majorHAnsi" w:cstheme="majorHAnsi"/>
                <w:sz w:val="20"/>
                <w:szCs w:val="20"/>
                <w:lang w:val="en-US"/>
              </w:rPr>
              <w:t>Justification: removing the possibility of continuing treatment at home with pills, the intervention will only be carried out in a hospital environment via intravenous route.</w:t>
            </w:r>
          </w:p>
        </w:tc>
      </w:tr>
      <w:tr w:rsidR="00D71AA5" w:rsidRPr="008F33FF" w14:paraId="09CA61B0" w14:textId="77777777" w:rsidTr="004E2C94">
        <w:tc>
          <w:tcPr>
            <w:tcW w:w="2329" w:type="dxa"/>
          </w:tcPr>
          <w:p w14:paraId="02F543EE" w14:textId="27B83043" w:rsidR="00D71AA5" w:rsidRPr="00A015FA" w:rsidRDefault="00CA1E64"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vAlign w:val="bottom"/>
          </w:tcPr>
          <w:p w14:paraId="163BA8E0" w14:textId="450B1E8D" w:rsidR="00D71AA5" w:rsidRPr="008F33FF" w:rsidRDefault="008F33FF" w:rsidP="00D71AA5">
            <w:pPr>
              <w:spacing w:before="240" w:after="240"/>
              <w:jc w:val="both"/>
              <w:rPr>
                <w:rFonts w:asciiTheme="majorHAnsi" w:hAnsiTheme="majorHAnsi" w:cstheme="majorHAnsi"/>
                <w:b/>
                <w:sz w:val="20"/>
                <w:szCs w:val="20"/>
                <w:lang w:val="en-US"/>
              </w:rPr>
            </w:pPr>
            <w:r w:rsidRPr="008F33FF">
              <w:rPr>
                <w:rFonts w:asciiTheme="majorHAnsi" w:hAnsiTheme="majorHAnsi" w:cstheme="majorHAnsi"/>
                <w:sz w:val="20"/>
                <w:szCs w:val="20"/>
                <w:lang w:val="en-US"/>
              </w:rPr>
              <w:t>In the proposed clinical trial, the dose administered to the 'biperiden group' will be one ampoule (5 mg of biperiden lactate), diluted in saline and administered for 30 to 60 minutes, every 6 hours, for 10 days, completing 40 doses. administered. The total daily dose will then be 20mg of biperiden lactate, within the limit shown on the package insert.</w:t>
            </w:r>
          </w:p>
        </w:tc>
      </w:tr>
      <w:tr w:rsidR="00D71AA5" w:rsidRPr="008F33FF" w14:paraId="4643EAD5" w14:textId="77777777" w:rsidTr="004E2C94">
        <w:tc>
          <w:tcPr>
            <w:tcW w:w="9841" w:type="dxa"/>
            <w:gridSpan w:val="2"/>
          </w:tcPr>
          <w:p w14:paraId="58BC2E2A" w14:textId="0D54A514" w:rsidR="00D71AA5" w:rsidRPr="008F33FF" w:rsidRDefault="008F33FF" w:rsidP="00D71AA5">
            <w:pPr>
              <w:spacing w:before="240" w:after="240"/>
              <w:jc w:val="both"/>
              <w:rPr>
                <w:rFonts w:asciiTheme="majorHAnsi" w:hAnsiTheme="majorHAnsi" w:cstheme="majorHAnsi"/>
                <w:sz w:val="20"/>
                <w:szCs w:val="20"/>
                <w:lang w:val="en-US"/>
              </w:rPr>
            </w:pPr>
            <w:r w:rsidRPr="008F33FF">
              <w:rPr>
                <w:rFonts w:asciiTheme="majorHAnsi" w:hAnsiTheme="majorHAnsi" w:cstheme="majorHAnsi"/>
                <w:sz w:val="20"/>
                <w:szCs w:val="20"/>
                <w:lang w:val="en-US"/>
              </w:rPr>
              <w:t>Justification: removing the possibility of continuing treatment at home with pills, the intervention will only be carried out in a hospital environment via intravenous route.</w:t>
            </w:r>
          </w:p>
        </w:tc>
      </w:tr>
      <w:tr w:rsidR="00D71AA5" w:rsidRPr="008F33FF" w14:paraId="762920A8" w14:textId="77777777" w:rsidTr="004E2C94">
        <w:tc>
          <w:tcPr>
            <w:tcW w:w="2329" w:type="dxa"/>
          </w:tcPr>
          <w:p w14:paraId="34124BEB" w14:textId="525025A2" w:rsidR="00D71AA5" w:rsidRPr="00A015FA" w:rsidRDefault="00CA1E64"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vAlign w:val="bottom"/>
          </w:tcPr>
          <w:p w14:paraId="3CF74BF1" w14:textId="7CC2A560" w:rsidR="00D71AA5" w:rsidRPr="008F33FF" w:rsidRDefault="008F33FF" w:rsidP="00D71AA5">
            <w:pPr>
              <w:jc w:val="both"/>
              <w:rPr>
                <w:rFonts w:asciiTheme="majorHAnsi" w:hAnsiTheme="majorHAnsi" w:cstheme="majorHAnsi"/>
                <w:b/>
                <w:sz w:val="20"/>
                <w:szCs w:val="20"/>
                <w:lang w:val="en-US"/>
              </w:rPr>
            </w:pPr>
            <w:r w:rsidRPr="008F33FF">
              <w:rPr>
                <w:rFonts w:asciiTheme="majorHAnsi" w:hAnsiTheme="majorHAnsi" w:cstheme="majorHAnsi"/>
                <w:sz w:val="20"/>
                <w:szCs w:val="20"/>
                <w:lang w:val="en-US"/>
              </w:rPr>
              <w:t xml:space="preserve">In case of hospital discharge within a period of less than 10 days, making it impossible to complete the protocol in the hospital environment, </w:t>
            </w:r>
            <w:r w:rsidRPr="008F33FF">
              <w:rPr>
                <w:rFonts w:asciiTheme="majorHAnsi" w:hAnsiTheme="majorHAnsi" w:cstheme="majorHAnsi"/>
                <w:b/>
                <w:bCs/>
                <w:sz w:val="20"/>
                <w:szCs w:val="20"/>
                <w:lang w:val="en-US"/>
              </w:rPr>
              <w:t>the participant may be included in the study analysis (by intention to treat) if they have used 30 doses or more of Biperiden. If the participant has not reached these 30 minimum doses, a protocol deviation notification will be made.</w:t>
            </w:r>
          </w:p>
        </w:tc>
      </w:tr>
      <w:tr w:rsidR="00D71AA5" w:rsidRPr="008F33FF" w14:paraId="712E8B9D" w14:textId="77777777" w:rsidTr="004E2C94">
        <w:tc>
          <w:tcPr>
            <w:tcW w:w="9841" w:type="dxa"/>
            <w:gridSpan w:val="2"/>
          </w:tcPr>
          <w:p w14:paraId="7576FF56" w14:textId="2AC3334C" w:rsidR="00D71AA5" w:rsidRPr="008F33FF" w:rsidRDefault="008F33FF" w:rsidP="00D71AA5">
            <w:pPr>
              <w:jc w:val="both"/>
              <w:rPr>
                <w:rFonts w:asciiTheme="majorHAnsi" w:hAnsiTheme="majorHAnsi" w:cstheme="majorHAnsi"/>
                <w:sz w:val="20"/>
                <w:szCs w:val="20"/>
                <w:lang w:val="en-US"/>
              </w:rPr>
            </w:pPr>
            <w:r w:rsidRPr="008F33FF">
              <w:rPr>
                <w:rFonts w:asciiTheme="majorHAnsi" w:hAnsiTheme="majorHAnsi" w:cstheme="majorHAnsi"/>
                <w:sz w:val="20"/>
                <w:szCs w:val="20"/>
                <w:lang w:val="en-US"/>
              </w:rPr>
              <w:t>Justification: removing the possibility of continuing treatment at home with pills, the intervention will only be carried out in a hospital environment via intravenous route.</w:t>
            </w:r>
          </w:p>
        </w:tc>
      </w:tr>
      <w:tr w:rsidR="00D71AA5" w:rsidRPr="008F33FF" w14:paraId="1F7290C1" w14:textId="77777777" w:rsidTr="004E2C94">
        <w:tc>
          <w:tcPr>
            <w:tcW w:w="2329" w:type="dxa"/>
          </w:tcPr>
          <w:p w14:paraId="22D6D182" w14:textId="638D8EDB" w:rsidR="00D71AA5" w:rsidRPr="00A015FA" w:rsidRDefault="00CA1E64"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vAlign w:val="bottom"/>
          </w:tcPr>
          <w:p w14:paraId="26302119" w14:textId="02DF6E8F" w:rsidR="00D71AA5" w:rsidRPr="008F33FF" w:rsidRDefault="008F33FF" w:rsidP="00D71AA5">
            <w:pPr>
              <w:jc w:val="both"/>
              <w:rPr>
                <w:rFonts w:asciiTheme="majorHAnsi" w:hAnsiTheme="majorHAnsi" w:cstheme="majorHAnsi"/>
                <w:b/>
                <w:sz w:val="20"/>
                <w:szCs w:val="20"/>
                <w:lang w:val="en-US"/>
              </w:rPr>
            </w:pPr>
            <w:r w:rsidRPr="008F33FF">
              <w:rPr>
                <w:rFonts w:asciiTheme="majorHAnsi" w:hAnsiTheme="majorHAnsi" w:cstheme="majorHAnsi"/>
                <w:sz w:val="20"/>
                <w:szCs w:val="20"/>
                <w:lang w:val="en-US"/>
              </w:rPr>
              <w:t xml:space="preserve">The participation of nine centers is estimated and it is expected that </w:t>
            </w:r>
            <w:r w:rsidRPr="008F33FF">
              <w:rPr>
                <w:rFonts w:asciiTheme="majorHAnsi" w:hAnsiTheme="majorHAnsi" w:cstheme="majorHAnsi"/>
                <w:b/>
                <w:bCs/>
                <w:sz w:val="20"/>
                <w:szCs w:val="20"/>
                <w:lang w:val="en-US"/>
              </w:rPr>
              <w:t>around 3 to 5 participants per center/month will be included, which implies 14 to 18 months for the inclusion of the 312 participants</w:t>
            </w:r>
            <w:r w:rsidRPr="008F33FF">
              <w:rPr>
                <w:rFonts w:asciiTheme="majorHAnsi" w:hAnsiTheme="majorHAnsi" w:cstheme="majorHAnsi"/>
                <w:sz w:val="20"/>
                <w:szCs w:val="20"/>
                <w:lang w:val="en-US"/>
              </w:rPr>
              <w:t>. The total estimated time for the duration of the study (10-day intervention phase followed by a 24-month follow-up phase) is 38 to 42 months, that is, advancing to the triennium following the triennium in which the project began.</w:t>
            </w:r>
          </w:p>
        </w:tc>
      </w:tr>
      <w:tr w:rsidR="00D71AA5" w:rsidRPr="008F33FF" w14:paraId="348FA7E5" w14:textId="77777777" w:rsidTr="004E2C94">
        <w:tc>
          <w:tcPr>
            <w:tcW w:w="9841" w:type="dxa"/>
            <w:gridSpan w:val="2"/>
          </w:tcPr>
          <w:p w14:paraId="00400F17" w14:textId="23B89D73" w:rsidR="00D71AA5" w:rsidRPr="008F33FF" w:rsidRDefault="008F33FF" w:rsidP="00D71AA5">
            <w:pPr>
              <w:jc w:val="both"/>
              <w:rPr>
                <w:rFonts w:asciiTheme="majorHAnsi" w:hAnsiTheme="majorHAnsi" w:cstheme="majorHAnsi"/>
                <w:sz w:val="20"/>
                <w:szCs w:val="20"/>
                <w:lang w:val="en-US"/>
              </w:rPr>
            </w:pPr>
            <w:r w:rsidRPr="008F33FF">
              <w:rPr>
                <w:rFonts w:asciiTheme="majorHAnsi" w:hAnsiTheme="majorHAnsi" w:cstheme="majorHAnsi"/>
                <w:sz w:val="20"/>
                <w:szCs w:val="20"/>
                <w:lang w:val="en-US"/>
              </w:rPr>
              <w:t>Justification: New sample calculation for the study, addition of research participants for robustness of results.</w:t>
            </w:r>
          </w:p>
        </w:tc>
      </w:tr>
      <w:tr w:rsidR="00D71AA5" w:rsidRPr="008F33FF" w14:paraId="523CC56E" w14:textId="77777777" w:rsidTr="004E2C94">
        <w:tc>
          <w:tcPr>
            <w:tcW w:w="2329" w:type="dxa"/>
          </w:tcPr>
          <w:p w14:paraId="1097C7B0" w14:textId="639EEEBA" w:rsidR="00D71AA5" w:rsidRPr="00A015FA" w:rsidRDefault="00CA1E64" w:rsidP="00D71AA5">
            <w:pPr>
              <w:spacing w:line="360" w:lineRule="auto"/>
              <w:jc w:val="center"/>
              <w:rPr>
                <w:rFonts w:asciiTheme="majorHAnsi" w:hAnsiTheme="majorHAnsi" w:cstheme="majorHAnsi"/>
                <w:b/>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vAlign w:val="bottom"/>
          </w:tcPr>
          <w:p w14:paraId="29D457E5" w14:textId="3E98C98D" w:rsidR="00D71AA5" w:rsidRPr="008F33FF" w:rsidRDefault="008F33FF" w:rsidP="00D71AA5">
            <w:pPr>
              <w:jc w:val="both"/>
              <w:rPr>
                <w:rFonts w:asciiTheme="majorHAnsi" w:hAnsiTheme="majorHAnsi" w:cstheme="majorHAnsi"/>
                <w:sz w:val="20"/>
                <w:szCs w:val="20"/>
                <w:lang w:val="en-US"/>
              </w:rPr>
            </w:pPr>
            <w:r w:rsidRPr="008F33FF">
              <w:rPr>
                <w:rFonts w:asciiTheme="majorHAnsi" w:hAnsiTheme="majorHAnsi" w:cstheme="majorHAnsi"/>
                <w:sz w:val="20"/>
                <w:szCs w:val="20"/>
                <w:lang w:val="en-US"/>
              </w:rPr>
              <w:t xml:space="preserve">The participant will be excluded from the study in cases of pregnancy, manifestation of a desire to discontinue participation, occurrence of serious adverse events that put the life of the participant at risk (at the discretion of the investigator in discussion with the monitoring committee); </w:t>
            </w:r>
            <w:r w:rsidRPr="008F33FF">
              <w:rPr>
                <w:rFonts w:asciiTheme="majorHAnsi" w:hAnsiTheme="majorHAnsi" w:cstheme="majorHAnsi"/>
                <w:b/>
                <w:bCs/>
                <w:sz w:val="20"/>
                <w:szCs w:val="20"/>
                <w:lang w:val="en-US"/>
              </w:rPr>
              <w:t>if there was a screening error when including patients with a history of epilepsy/glaucoma or any other health condition prior to TBI and predicted in the study exclusion criteria (when this finding cannot occur at the time of recruitment); any other condition that, in the opinion of the investigator, would be to the advantage of the patient not following the procedures specified in this protocol.</w:t>
            </w:r>
          </w:p>
        </w:tc>
      </w:tr>
      <w:tr w:rsidR="00D71AA5" w:rsidRPr="008F33FF" w14:paraId="7E059CCB" w14:textId="77777777" w:rsidTr="004E2C94">
        <w:tc>
          <w:tcPr>
            <w:tcW w:w="9841" w:type="dxa"/>
            <w:gridSpan w:val="2"/>
          </w:tcPr>
          <w:p w14:paraId="120FAA51" w14:textId="26E9787D" w:rsidR="00D71AA5" w:rsidRPr="008F33FF" w:rsidRDefault="008F33FF" w:rsidP="00D71AA5">
            <w:pPr>
              <w:jc w:val="both"/>
              <w:rPr>
                <w:rFonts w:asciiTheme="majorHAnsi" w:hAnsiTheme="majorHAnsi" w:cstheme="majorHAnsi"/>
                <w:sz w:val="20"/>
                <w:szCs w:val="20"/>
                <w:lang w:val="en-US"/>
              </w:rPr>
            </w:pPr>
            <w:r w:rsidRPr="008F33FF">
              <w:rPr>
                <w:rFonts w:asciiTheme="majorHAnsi" w:hAnsiTheme="majorHAnsi" w:cstheme="majorHAnsi"/>
                <w:sz w:val="20"/>
                <w:szCs w:val="20"/>
                <w:lang w:val="en-US"/>
              </w:rPr>
              <w:t>Justification: addition of patient flow information in cases of study complications such as screening failure and protocol deviation.</w:t>
            </w:r>
          </w:p>
        </w:tc>
      </w:tr>
      <w:tr w:rsidR="00D71AA5" w14:paraId="53372910" w14:textId="77777777" w:rsidTr="004E2C94">
        <w:tc>
          <w:tcPr>
            <w:tcW w:w="2329" w:type="dxa"/>
          </w:tcPr>
          <w:p w14:paraId="40AB27D8" w14:textId="293D82DF" w:rsidR="00D71AA5" w:rsidRPr="00A015FA" w:rsidRDefault="00CA1E64" w:rsidP="00D71AA5">
            <w:pPr>
              <w:jc w:val="center"/>
              <w:rPr>
                <w:rFonts w:asciiTheme="majorHAnsi" w:hAnsiTheme="majorHAnsi" w:cstheme="majorHAnsi"/>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tcPr>
          <w:p w14:paraId="66F4AA53" w14:textId="191A81A8" w:rsidR="00D71AA5" w:rsidRPr="008F33FF" w:rsidRDefault="008F33FF" w:rsidP="00D71AA5">
            <w:pPr>
              <w:jc w:val="both"/>
              <w:rPr>
                <w:rFonts w:asciiTheme="majorHAnsi" w:hAnsiTheme="majorHAnsi" w:cstheme="majorHAnsi"/>
                <w:bCs/>
                <w:iCs/>
                <w:sz w:val="20"/>
                <w:szCs w:val="20"/>
              </w:rPr>
            </w:pPr>
            <w:r w:rsidRPr="008F33FF">
              <w:rPr>
                <w:rFonts w:asciiTheme="majorHAnsi" w:hAnsiTheme="majorHAnsi" w:cstheme="majorHAnsi"/>
                <w:b/>
                <w:iCs/>
                <w:sz w:val="20"/>
                <w:szCs w:val="20"/>
                <w:lang w:val="en-US"/>
              </w:rPr>
              <w:t>The randomization center will make each random number available via a digital platform to which the participating center will have available access</w:t>
            </w:r>
            <w:r w:rsidRPr="008F33FF">
              <w:rPr>
                <w:rFonts w:asciiTheme="majorHAnsi" w:hAnsiTheme="majorHAnsi" w:cstheme="majorHAnsi"/>
                <w:bCs/>
                <w:iCs/>
                <w:sz w:val="20"/>
                <w:szCs w:val="20"/>
                <w:lang w:val="en-US"/>
              </w:rPr>
              <w:t xml:space="preserve">. As soon as a participant meets the eligibility criteria and is included in the study, </w:t>
            </w:r>
            <w:r w:rsidRPr="008F33FF">
              <w:rPr>
                <w:rFonts w:asciiTheme="majorHAnsi" w:hAnsiTheme="majorHAnsi" w:cstheme="majorHAnsi"/>
                <w:b/>
                <w:iCs/>
                <w:sz w:val="20"/>
                <w:szCs w:val="20"/>
                <w:lang w:val="en-US"/>
              </w:rPr>
              <w:t>a member of the team from the delegated coordinating center will access the digital platform and will have access to the bottle number of the drug to be administered.</w:t>
            </w:r>
            <w:r w:rsidRPr="008F33FF">
              <w:rPr>
                <w:rFonts w:asciiTheme="majorHAnsi" w:hAnsiTheme="majorHAnsi" w:cstheme="majorHAnsi"/>
                <w:bCs/>
                <w:iCs/>
                <w:sz w:val="20"/>
                <w:szCs w:val="20"/>
                <w:lang w:val="en-US"/>
              </w:rPr>
              <w:t xml:space="preserve"> The numerical sequence must be strictly </w:t>
            </w:r>
            <w:proofErr w:type="gramStart"/>
            <w:r w:rsidRPr="008F33FF">
              <w:rPr>
                <w:rFonts w:asciiTheme="majorHAnsi" w:hAnsiTheme="majorHAnsi" w:cstheme="majorHAnsi"/>
                <w:bCs/>
                <w:iCs/>
                <w:sz w:val="20"/>
                <w:szCs w:val="20"/>
                <w:lang w:val="en-US"/>
              </w:rPr>
              <w:t>followed</w:t>
            </w:r>
            <w:proofErr w:type="gramEnd"/>
            <w:r w:rsidRPr="008F33FF">
              <w:rPr>
                <w:rFonts w:asciiTheme="majorHAnsi" w:hAnsiTheme="majorHAnsi" w:cstheme="majorHAnsi"/>
                <w:bCs/>
                <w:iCs/>
                <w:sz w:val="20"/>
                <w:szCs w:val="20"/>
                <w:lang w:val="en-US"/>
              </w:rPr>
              <w:t xml:space="preserve"> and this process will be verified in the monitoring visits. </w:t>
            </w:r>
            <w:r w:rsidRPr="008F33FF">
              <w:rPr>
                <w:rFonts w:asciiTheme="majorHAnsi" w:hAnsiTheme="majorHAnsi" w:cstheme="majorHAnsi"/>
                <w:b/>
                <w:iCs/>
                <w:sz w:val="20"/>
                <w:szCs w:val="20"/>
                <w:lang w:val="en-US"/>
              </w:rPr>
              <w:t xml:space="preserve">The digital platform </w:t>
            </w:r>
            <w:r w:rsidRPr="008F33FF">
              <w:rPr>
                <w:rFonts w:asciiTheme="majorHAnsi" w:hAnsiTheme="majorHAnsi" w:cstheme="majorHAnsi"/>
                <w:b/>
                <w:iCs/>
                <w:sz w:val="20"/>
                <w:szCs w:val="20"/>
                <w:lang w:val="en-US"/>
              </w:rPr>
              <w:lastRenderedPageBreak/>
              <w:t>should only be accessed immediately before the patient receives the first dose of the intervention.</w:t>
            </w:r>
            <w:r w:rsidRPr="008F33FF">
              <w:rPr>
                <w:rFonts w:asciiTheme="majorHAnsi" w:hAnsiTheme="majorHAnsi" w:cstheme="majorHAnsi"/>
                <w:bCs/>
                <w:iCs/>
                <w:sz w:val="20"/>
                <w:szCs w:val="20"/>
                <w:lang w:val="en-US"/>
              </w:rPr>
              <w:t xml:space="preserve"> The delegated coordinating center staff member will communicate with the local pharmacy to tell them the vial number to be dispensed. The local pharmacy will deliver the ampoules identified with the random numbers from the digital platform to the nurse. </w:t>
            </w:r>
            <w:r w:rsidRPr="008F33FF">
              <w:rPr>
                <w:rFonts w:asciiTheme="majorHAnsi" w:hAnsiTheme="majorHAnsi" w:cstheme="majorHAnsi"/>
                <w:bCs/>
                <w:iCs/>
                <w:sz w:val="20"/>
                <w:szCs w:val="20"/>
              </w:rPr>
              <w:t>Both will not know the contents of the vial.</w:t>
            </w:r>
          </w:p>
        </w:tc>
      </w:tr>
      <w:tr w:rsidR="00D71AA5" w:rsidRPr="00C76FFF" w14:paraId="4E66F73A" w14:textId="77777777" w:rsidTr="004E2C94">
        <w:tc>
          <w:tcPr>
            <w:tcW w:w="9841" w:type="dxa"/>
            <w:gridSpan w:val="2"/>
          </w:tcPr>
          <w:p w14:paraId="04ABD069" w14:textId="5E47D29C" w:rsidR="00D71AA5" w:rsidRPr="00C76FFF" w:rsidRDefault="00C76FFF" w:rsidP="00D71AA5">
            <w:pPr>
              <w:jc w:val="both"/>
              <w:rPr>
                <w:rFonts w:asciiTheme="majorHAnsi" w:hAnsiTheme="majorHAnsi" w:cstheme="majorHAnsi"/>
                <w:sz w:val="20"/>
                <w:szCs w:val="20"/>
                <w:lang w:val="en-US"/>
              </w:rPr>
            </w:pPr>
            <w:r w:rsidRPr="00C76FFF">
              <w:rPr>
                <w:rFonts w:asciiTheme="majorHAnsi" w:hAnsiTheme="majorHAnsi" w:cstheme="majorHAnsi"/>
                <w:sz w:val="20"/>
                <w:szCs w:val="20"/>
                <w:lang w:val="en-US"/>
              </w:rPr>
              <w:lastRenderedPageBreak/>
              <w:t>Justification: update of the randomization process to improve and guarantee the quality of the research protocol.</w:t>
            </w:r>
          </w:p>
        </w:tc>
      </w:tr>
      <w:tr w:rsidR="00D71AA5" w:rsidRPr="00C76FFF" w14:paraId="79C8B0D9" w14:textId="77777777" w:rsidTr="004E2C94">
        <w:tc>
          <w:tcPr>
            <w:tcW w:w="2329" w:type="dxa"/>
          </w:tcPr>
          <w:p w14:paraId="2E1FD745" w14:textId="1EAA41C7" w:rsidR="00D71AA5" w:rsidRPr="00A015FA" w:rsidRDefault="00CA1E64" w:rsidP="00D71AA5">
            <w:pPr>
              <w:jc w:val="center"/>
              <w:rPr>
                <w:rFonts w:asciiTheme="majorHAnsi" w:hAnsiTheme="majorHAnsi" w:cstheme="majorHAnsi"/>
                <w:sz w:val="20"/>
                <w:szCs w:val="20"/>
              </w:rPr>
            </w:pPr>
            <w:r w:rsidRPr="00A015FA">
              <w:rPr>
                <w:rFonts w:asciiTheme="majorHAnsi" w:hAnsiTheme="majorHAnsi" w:cstheme="majorHAnsi"/>
                <w:b/>
                <w:sz w:val="20"/>
                <w:szCs w:val="20"/>
              </w:rPr>
              <w:t>Ma</w:t>
            </w:r>
            <w:r>
              <w:rPr>
                <w:rFonts w:asciiTheme="majorHAnsi" w:hAnsiTheme="majorHAnsi" w:cstheme="majorHAnsi"/>
                <w:b/>
                <w:sz w:val="20"/>
                <w:szCs w:val="20"/>
              </w:rPr>
              <w:t>y</w:t>
            </w:r>
            <w:r w:rsidRPr="00A015FA">
              <w:rPr>
                <w:rFonts w:asciiTheme="majorHAnsi" w:hAnsiTheme="majorHAnsi" w:cstheme="majorHAnsi"/>
                <w:b/>
                <w:sz w:val="20"/>
                <w:szCs w:val="20"/>
              </w:rPr>
              <w:t>/2021</w:t>
            </w:r>
          </w:p>
        </w:tc>
        <w:tc>
          <w:tcPr>
            <w:tcW w:w="7512" w:type="dxa"/>
          </w:tcPr>
          <w:p w14:paraId="6B6CE0D1" w14:textId="77777777" w:rsidR="00C76FFF" w:rsidRPr="00C76FFF" w:rsidRDefault="00C76FFF" w:rsidP="00C76FFF">
            <w:pPr>
              <w:jc w:val="both"/>
              <w:rPr>
                <w:rFonts w:asciiTheme="minorHAnsi" w:hAnsiTheme="minorHAnsi" w:cstheme="minorHAnsi"/>
                <w:sz w:val="20"/>
                <w:szCs w:val="20"/>
                <w:lang w:val="en-US"/>
              </w:rPr>
            </w:pPr>
            <w:r w:rsidRPr="00C76FFF">
              <w:rPr>
                <w:rFonts w:asciiTheme="minorHAnsi" w:hAnsiTheme="minorHAnsi" w:cstheme="minorHAnsi"/>
                <w:sz w:val="20"/>
                <w:szCs w:val="20"/>
                <w:lang w:val="en-US"/>
              </w:rPr>
              <w:t xml:space="preserve">In view of the above, the Society forwards, below, </w:t>
            </w:r>
            <w:r w:rsidRPr="00C76FFF">
              <w:rPr>
                <w:rFonts w:asciiTheme="minorHAnsi" w:hAnsiTheme="minorHAnsi" w:cstheme="minorHAnsi"/>
                <w:b/>
                <w:bCs/>
                <w:sz w:val="20"/>
                <w:szCs w:val="20"/>
                <w:lang w:val="en-US"/>
              </w:rPr>
              <w:t>the complete updated schedule of the project for execution in the current triennium (2020-2023).</w:t>
            </w:r>
          </w:p>
          <w:p w14:paraId="58741EA6" w14:textId="4AF9AE9B" w:rsidR="00D71AA5" w:rsidRPr="00C76FFF" w:rsidRDefault="00C76FFF" w:rsidP="00C76FFF">
            <w:pPr>
              <w:jc w:val="both"/>
              <w:rPr>
                <w:rFonts w:asciiTheme="majorHAnsi" w:hAnsiTheme="majorHAnsi" w:cstheme="majorHAnsi"/>
                <w:sz w:val="20"/>
                <w:szCs w:val="20"/>
                <w:lang w:val="en-US"/>
              </w:rPr>
            </w:pPr>
            <w:r w:rsidRPr="00C76FFF">
              <w:rPr>
                <w:rFonts w:asciiTheme="minorHAnsi" w:hAnsiTheme="minorHAnsi" w:cstheme="minorHAnsi"/>
                <w:sz w:val="20"/>
                <w:szCs w:val="20"/>
                <w:lang w:val="en-US"/>
              </w:rPr>
              <w:t>All efforts will be focused on completing the study in 2023, however, if we are not successful in the patient inclusion stage, with the number of patients included below the expected for the period, an additional period may be requested in the subsequent triennium, to complete the study.</w:t>
            </w:r>
          </w:p>
        </w:tc>
      </w:tr>
      <w:tr w:rsidR="00D71AA5" w:rsidRPr="00C76FFF" w14:paraId="439455B5" w14:textId="77777777" w:rsidTr="004E2C94">
        <w:tc>
          <w:tcPr>
            <w:tcW w:w="9841" w:type="dxa"/>
            <w:gridSpan w:val="2"/>
          </w:tcPr>
          <w:p w14:paraId="7CDCF447" w14:textId="646D0D28" w:rsidR="00D71AA5" w:rsidRPr="00C76FFF" w:rsidRDefault="00C76FFF" w:rsidP="00D71AA5">
            <w:pPr>
              <w:jc w:val="both"/>
              <w:rPr>
                <w:rFonts w:asciiTheme="majorHAnsi" w:hAnsiTheme="majorHAnsi" w:cstheme="majorHAnsi"/>
                <w:sz w:val="20"/>
                <w:szCs w:val="20"/>
                <w:lang w:val="en-US"/>
              </w:rPr>
            </w:pPr>
            <w:r w:rsidRPr="00C76FFF">
              <w:rPr>
                <w:rFonts w:asciiTheme="majorHAnsi" w:hAnsiTheme="majorHAnsi" w:cstheme="majorHAnsi"/>
                <w:sz w:val="20"/>
                <w:szCs w:val="20"/>
                <w:lang w:val="en-US"/>
              </w:rPr>
              <w:t>Justification: update of the schedule to improve and guarantee the quality of the research protocol.</w:t>
            </w:r>
          </w:p>
        </w:tc>
      </w:tr>
    </w:tbl>
    <w:p w14:paraId="45DA9A02" w14:textId="77777777" w:rsidR="00517F0A" w:rsidRPr="00C76FFF" w:rsidRDefault="00517F0A">
      <w:pPr>
        <w:spacing w:line="360" w:lineRule="auto"/>
        <w:ind w:left="360"/>
        <w:jc w:val="center"/>
        <w:rPr>
          <w:rFonts w:asciiTheme="majorHAnsi" w:hAnsiTheme="majorHAnsi" w:cstheme="majorHAnsi"/>
          <w:b/>
          <w:sz w:val="24"/>
          <w:szCs w:val="24"/>
          <w:lang w:val="en-US"/>
        </w:rPr>
      </w:pPr>
    </w:p>
    <w:p w14:paraId="034CF696" w14:textId="77777777" w:rsidR="00517F0A" w:rsidRPr="00C76FFF" w:rsidRDefault="00517F0A">
      <w:pPr>
        <w:rPr>
          <w:rFonts w:asciiTheme="majorHAnsi" w:hAnsiTheme="majorHAnsi" w:cstheme="majorHAnsi"/>
          <w:b/>
          <w:sz w:val="24"/>
          <w:szCs w:val="24"/>
          <w:lang w:val="en-US"/>
        </w:rPr>
      </w:pPr>
      <w:r w:rsidRPr="00C76FFF">
        <w:rPr>
          <w:rFonts w:asciiTheme="majorHAnsi" w:hAnsiTheme="majorHAnsi" w:cstheme="majorHAnsi"/>
          <w:b/>
          <w:sz w:val="24"/>
          <w:szCs w:val="24"/>
          <w:lang w:val="en-US"/>
        </w:rPr>
        <w:br w:type="page"/>
      </w:r>
    </w:p>
    <w:p w14:paraId="2CF82A8B" w14:textId="61FA7475" w:rsidR="00A636C3" w:rsidRPr="00C76FFF" w:rsidRDefault="00C76FFF">
      <w:pPr>
        <w:spacing w:line="360" w:lineRule="auto"/>
        <w:ind w:left="360"/>
        <w:jc w:val="center"/>
        <w:rPr>
          <w:b/>
          <w:sz w:val="24"/>
          <w:szCs w:val="24"/>
          <w:lang w:val="en-US"/>
        </w:rPr>
      </w:pPr>
      <w:r w:rsidRPr="00C76FFF">
        <w:rPr>
          <w:rFonts w:asciiTheme="majorHAnsi" w:hAnsiTheme="majorHAnsi" w:cstheme="majorHAnsi"/>
          <w:b/>
          <w:sz w:val="24"/>
          <w:szCs w:val="24"/>
          <w:lang w:val="en-US"/>
        </w:rPr>
        <w:lastRenderedPageBreak/>
        <w:t>Study Protocol: Biperiden for the prevention of epilepsy in patients with traumatic brain injury.</w:t>
      </w:r>
    </w:p>
    <w:p w14:paraId="52482D84" w14:textId="77777777" w:rsidR="00A636C3" w:rsidRPr="00C76FFF" w:rsidRDefault="00A636C3">
      <w:pPr>
        <w:spacing w:line="360" w:lineRule="auto"/>
        <w:ind w:left="360" w:hanging="720"/>
        <w:jc w:val="both"/>
        <w:rPr>
          <w:rFonts w:asciiTheme="majorHAnsi" w:hAnsiTheme="majorHAnsi" w:cstheme="majorHAnsi"/>
          <w:b/>
          <w:sz w:val="18"/>
          <w:szCs w:val="18"/>
          <w:lang w:val="en-US"/>
        </w:rPr>
      </w:pPr>
    </w:p>
    <w:p w14:paraId="664C9D15" w14:textId="28D5C859" w:rsidR="00C76FFF" w:rsidRPr="00C76FFF" w:rsidRDefault="00C76FFF" w:rsidP="00934BD1">
      <w:pPr>
        <w:numPr>
          <w:ilvl w:val="0"/>
          <w:numId w:val="12"/>
        </w:numPr>
        <w:spacing w:after="160" w:line="360" w:lineRule="auto"/>
        <w:jc w:val="both"/>
        <w:rPr>
          <w:rFonts w:asciiTheme="majorHAnsi" w:hAnsiTheme="majorHAnsi" w:cstheme="majorHAnsi"/>
          <w:b/>
        </w:rPr>
      </w:pPr>
      <w:r w:rsidRPr="00C76FFF">
        <w:rPr>
          <w:rFonts w:asciiTheme="majorHAnsi" w:hAnsiTheme="majorHAnsi" w:cstheme="majorHAnsi"/>
          <w:b/>
        </w:rPr>
        <w:t>JUSTIFICATION</w:t>
      </w:r>
    </w:p>
    <w:p w14:paraId="2E22B5EE" w14:textId="77777777" w:rsidR="00C76FFF" w:rsidRDefault="00C76FFF" w:rsidP="00604E11">
      <w:pPr>
        <w:spacing w:before="120" w:after="120" w:line="360" w:lineRule="auto"/>
        <w:ind w:firstLine="720"/>
        <w:jc w:val="both"/>
        <w:rPr>
          <w:rFonts w:asciiTheme="majorHAnsi" w:hAnsiTheme="majorHAnsi" w:cstheme="majorHAnsi"/>
          <w:i/>
        </w:rPr>
      </w:pPr>
      <w:r w:rsidRPr="00C76FFF">
        <w:rPr>
          <w:rFonts w:asciiTheme="majorHAnsi" w:hAnsiTheme="majorHAnsi" w:cstheme="majorHAnsi"/>
          <w:i/>
        </w:rPr>
        <w:t>Traumatic brain injury</w:t>
      </w:r>
    </w:p>
    <w:p w14:paraId="24B15F1F" w14:textId="77777777" w:rsidR="00C76FFF" w:rsidRPr="00C76FFF" w:rsidRDefault="00C76FFF" w:rsidP="00C76FFF">
      <w:pPr>
        <w:spacing w:before="120" w:after="120" w:line="360" w:lineRule="auto"/>
        <w:ind w:firstLine="720"/>
        <w:jc w:val="both"/>
        <w:rPr>
          <w:rFonts w:asciiTheme="majorHAnsi" w:hAnsiTheme="majorHAnsi" w:cstheme="majorHAnsi"/>
          <w:lang w:val="pt-BR"/>
        </w:rPr>
      </w:pPr>
      <w:r w:rsidRPr="00C76FFF">
        <w:rPr>
          <w:rFonts w:asciiTheme="majorHAnsi" w:hAnsiTheme="majorHAnsi" w:cstheme="majorHAnsi"/>
          <w:lang w:val="pt-BR"/>
        </w:rPr>
        <w:t>Definido como alteração da função cerebral ou de emergência de patologia cerebral 2% a responsável por uma força externa, de pessoas ao mundo [TCE todas as 50 mortes em milhões de pessoas no mundo que corresponde a 50 mortes em milhões de pessoas1], o que corresponde a 50 mortes em milhões de pessoas no mundo todo o mundo todo ano, sendo a principal causa de mortalidade e comorbidade em adultos em todos os países, inclusive no Brasil [Maas 2017; Ministério da Saúde 2015; Pereira 2006].</w:t>
      </w:r>
    </w:p>
    <w:p w14:paraId="439AF01E" w14:textId="77777777" w:rsidR="00C76FFF" w:rsidRPr="00C76FFF" w:rsidRDefault="00C76FFF" w:rsidP="00C76FFF">
      <w:pPr>
        <w:spacing w:before="120" w:after="120" w:line="360" w:lineRule="auto"/>
        <w:ind w:firstLine="720"/>
        <w:jc w:val="both"/>
        <w:rPr>
          <w:rFonts w:asciiTheme="majorHAnsi" w:hAnsiTheme="majorHAnsi" w:cstheme="majorHAnsi"/>
          <w:lang w:val="pt-BR"/>
        </w:rPr>
      </w:pPr>
      <w:r w:rsidRPr="00C76FFF">
        <w:rPr>
          <w:rFonts w:asciiTheme="majorHAnsi" w:hAnsiTheme="majorHAnsi" w:cstheme="majorHAnsi"/>
          <w:lang w:val="pt-BR"/>
        </w:rPr>
        <w:t>Os dados do DATASUS mostram que cerca de 125.000 pessoas/ano atendimento hospitalar devido ao TCE, o que corresponde a uma frequência de 65,7 casos/100.000 habitantes [Magalhães 2017]. Como questões adicionais, a taxa de mortalidade hospitalar para estes casos chega a 7,7%, ou seja, 5,1 mortes/100.000 casos/ano [Magalhã2017]. Os acidentes de trânsito representam a principal causa de TCE, totalizando 50% dos casos, seguidos por quedas e violência urbana [de Almeida 2016].</w:t>
      </w:r>
    </w:p>
    <w:p w14:paraId="29FA9028" w14:textId="77777777" w:rsidR="00C76FFF" w:rsidRPr="00C76FFF" w:rsidRDefault="00C76FFF" w:rsidP="00C76FFF">
      <w:pPr>
        <w:spacing w:before="120" w:after="120" w:line="360" w:lineRule="auto"/>
        <w:ind w:firstLine="720"/>
        <w:jc w:val="both"/>
        <w:rPr>
          <w:rFonts w:asciiTheme="majorHAnsi" w:hAnsiTheme="majorHAnsi" w:cstheme="majorHAnsi"/>
          <w:lang w:val="pt-BR"/>
        </w:rPr>
      </w:pPr>
      <w:r w:rsidRPr="00C76FFF">
        <w:rPr>
          <w:rFonts w:asciiTheme="majorHAnsi" w:hAnsiTheme="majorHAnsi" w:cstheme="majorHAnsi"/>
          <w:lang w:val="pt-BR"/>
        </w:rPr>
        <w:t>Estudos que mostram fortes, apesar do tamanho do impacto do TCE, ainda são estudos embasar diretrizes e avaliações de eficácia, com ensaios clínicos mostrando a eficácia do tratamento, apesar dos resultados promissores [Maas 2017].</w:t>
      </w:r>
    </w:p>
    <w:p w14:paraId="722CB11F" w14:textId="0C791F88" w:rsidR="00A636C3" w:rsidRDefault="00C76FFF" w:rsidP="00C76FFF">
      <w:pPr>
        <w:spacing w:before="120" w:after="120" w:line="360" w:lineRule="auto"/>
        <w:ind w:firstLine="720"/>
        <w:jc w:val="both"/>
        <w:rPr>
          <w:rFonts w:asciiTheme="majorHAnsi" w:hAnsiTheme="majorHAnsi" w:cstheme="majorHAnsi"/>
          <w:lang w:val="pt-BR"/>
        </w:rPr>
      </w:pPr>
      <w:r w:rsidRPr="00C76FFF">
        <w:rPr>
          <w:rFonts w:asciiTheme="majorHAnsi" w:hAnsiTheme="majorHAnsi" w:cstheme="majorHAnsi"/>
          <w:lang w:val="pt-BR"/>
        </w:rPr>
        <w:t>Com relação à morbidade associada ao CE, como complicações neurológicas incluindo problemas primários primários (iniciadas após o momento do trauma, derivadas das primárias) [Faul 2015; Masel 2010]. Sobreviventes ao TCE, muitas vezes experenciam traumas físicos, psicológicos, psicológicos e cognitivos, o que causa uma redução importante na qualidade de vida e funcionalidade do indíviduo e traz um alto impacto socioeconômico [Maas 2017].</w:t>
      </w:r>
    </w:p>
    <w:p w14:paraId="30DB3360" w14:textId="37A529D3" w:rsidR="00A53C4D" w:rsidRDefault="00A53C4D">
      <w:pPr>
        <w:spacing w:before="120" w:after="120" w:line="360" w:lineRule="auto"/>
        <w:jc w:val="both"/>
        <w:rPr>
          <w:rFonts w:asciiTheme="majorHAnsi" w:hAnsiTheme="majorHAnsi" w:cstheme="majorHAnsi"/>
          <w:lang w:val="pt-BR"/>
        </w:rPr>
      </w:pPr>
    </w:p>
    <w:p w14:paraId="3CBD0952" w14:textId="77777777" w:rsidR="00C76FFF" w:rsidRPr="00C76FFF" w:rsidRDefault="00C76FFF" w:rsidP="00C76FFF">
      <w:pPr>
        <w:spacing w:before="120" w:after="120" w:line="360" w:lineRule="auto"/>
        <w:ind w:firstLine="720"/>
        <w:jc w:val="both"/>
        <w:rPr>
          <w:rFonts w:asciiTheme="majorHAnsi" w:hAnsiTheme="majorHAnsi" w:cstheme="majorHAnsi"/>
          <w:i/>
          <w:lang w:val="en-US"/>
        </w:rPr>
      </w:pPr>
      <w:r w:rsidRPr="00C76FFF">
        <w:rPr>
          <w:rFonts w:asciiTheme="majorHAnsi" w:hAnsiTheme="majorHAnsi" w:cstheme="majorHAnsi"/>
          <w:i/>
          <w:lang w:val="en-US"/>
        </w:rPr>
        <w:t>Post-traumatic epilepsy</w:t>
      </w:r>
    </w:p>
    <w:p w14:paraId="3B1B71C5" w14:textId="77777777" w:rsidR="00C76FFF" w:rsidRPr="00C76FFF" w:rsidRDefault="00C76FFF" w:rsidP="00C76FFF">
      <w:pPr>
        <w:spacing w:before="120" w:after="120" w:line="360" w:lineRule="auto"/>
        <w:ind w:firstLine="720"/>
        <w:jc w:val="both"/>
        <w:rPr>
          <w:rFonts w:asciiTheme="majorHAnsi" w:hAnsiTheme="majorHAnsi" w:cstheme="majorHAnsi"/>
          <w:iCs/>
          <w:lang w:val="en-US"/>
        </w:rPr>
      </w:pPr>
      <w:r w:rsidRPr="00C76FFF">
        <w:rPr>
          <w:rFonts w:asciiTheme="majorHAnsi" w:hAnsiTheme="majorHAnsi" w:cstheme="majorHAnsi"/>
          <w:iCs/>
          <w:lang w:val="en-US"/>
        </w:rPr>
        <w:t xml:space="preserve">Traumatic epilepsy (PTE) is a 2% patient-adjusted surgical treatment interval, with risk according to TBI severity, intervention c, after the percentage of time since it rises to 53% in the most severe cases with solutions penetrants [Anegers1998; </w:t>
      </w:r>
      <w:proofErr w:type="spellStart"/>
      <w:r w:rsidRPr="00C76FFF">
        <w:rPr>
          <w:rFonts w:asciiTheme="majorHAnsi" w:hAnsiTheme="majorHAnsi" w:cstheme="majorHAnsi"/>
          <w:iCs/>
          <w:lang w:val="en-US"/>
        </w:rPr>
        <w:t>Asikainen</w:t>
      </w:r>
      <w:proofErr w:type="spellEnd"/>
      <w:r w:rsidRPr="00C76FFF">
        <w:rPr>
          <w:rFonts w:asciiTheme="majorHAnsi" w:hAnsiTheme="majorHAnsi" w:cstheme="majorHAnsi"/>
          <w:iCs/>
          <w:lang w:val="en-US"/>
        </w:rPr>
        <w:t xml:space="preserve"> 1999; England 2003; Hauser 1991; Kim 2018; </w:t>
      </w:r>
      <w:proofErr w:type="spellStart"/>
      <w:r w:rsidRPr="00C76FFF">
        <w:rPr>
          <w:rFonts w:asciiTheme="majorHAnsi" w:hAnsiTheme="majorHAnsi" w:cstheme="majorHAnsi"/>
          <w:iCs/>
          <w:lang w:val="en-US"/>
        </w:rPr>
        <w:t>Raymont</w:t>
      </w:r>
      <w:proofErr w:type="spellEnd"/>
      <w:r w:rsidRPr="00C76FFF">
        <w:rPr>
          <w:rFonts w:asciiTheme="majorHAnsi" w:hAnsiTheme="majorHAnsi" w:cstheme="majorHAnsi"/>
          <w:iCs/>
          <w:lang w:val="en-US"/>
        </w:rPr>
        <w:t xml:space="preserve"> 2010; Salazar 2015; Temkin 1990].</w:t>
      </w:r>
    </w:p>
    <w:p w14:paraId="26E86A62" w14:textId="77777777" w:rsidR="00C76FFF" w:rsidRPr="00C76FFF" w:rsidRDefault="00C76FFF" w:rsidP="00C76FFF">
      <w:pPr>
        <w:spacing w:before="120" w:after="120" w:line="360" w:lineRule="auto"/>
        <w:ind w:firstLine="720"/>
        <w:jc w:val="both"/>
        <w:rPr>
          <w:rFonts w:asciiTheme="majorHAnsi" w:hAnsiTheme="majorHAnsi" w:cstheme="majorHAnsi"/>
          <w:iCs/>
          <w:lang w:val="en-US"/>
        </w:rPr>
      </w:pPr>
      <w:r w:rsidRPr="00C76FFF">
        <w:rPr>
          <w:rFonts w:asciiTheme="majorHAnsi" w:hAnsiTheme="majorHAnsi" w:cstheme="majorHAnsi"/>
          <w:iCs/>
          <w:lang w:val="en-US"/>
        </w:rPr>
        <w:lastRenderedPageBreak/>
        <w:t xml:space="preserve">After a TBI, seizures of an epileptic nature, early (within </w:t>
      </w:r>
      <w:proofErr w:type="gramStart"/>
      <w:r w:rsidRPr="00C76FFF">
        <w:rPr>
          <w:rFonts w:asciiTheme="majorHAnsi" w:hAnsiTheme="majorHAnsi" w:cstheme="majorHAnsi"/>
          <w:iCs/>
          <w:lang w:val="en-US"/>
        </w:rPr>
        <w:t>one week</w:t>
      </w:r>
      <w:proofErr w:type="gramEnd"/>
      <w:r w:rsidRPr="00C76FFF">
        <w:rPr>
          <w:rFonts w:asciiTheme="majorHAnsi" w:hAnsiTheme="majorHAnsi" w:cstheme="majorHAnsi"/>
          <w:iCs/>
          <w:lang w:val="en-US"/>
        </w:rPr>
        <w:t xml:space="preserve"> post-TBI) but which do not characterize EPT, may appear. The current consensus is that the crises that characterize EPT are those that appear after the first week. Seizures can be altered by acute effects of trauma, such as cerebral hemorrhage (and do not necessarily characterize epilepsy), while late seizures may depend on synaptic reorganization mechanisms [</w:t>
      </w:r>
      <w:proofErr w:type="spellStart"/>
      <w:r w:rsidRPr="00C76FFF">
        <w:rPr>
          <w:rFonts w:asciiTheme="majorHAnsi" w:hAnsiTheme="majorHAnsi" w:cstheme="majorHAnsi"/>
          <w:iCs/>
          <w:lang w:val="en-US"/>
        </w:rPr>
        <w:t>Payan</w:t>
      </w:r>
      <w:proofErr w:type="spellEnd"/>
      <w:r w:rsidRPr="00C76FFF">
        <w:rPr>
          <w:rFonts w:asciiTheme="majorHAnsi" w:hAnsiTheme="majorHAnsi" w:cstheme="majorHAnsi"/>
          <w:iCs/>
          <w:lang w:val="en-US"/>
        </w:rPr>
        <w:t xml:space="preserve"> ; </w:t>
      </w:r>
      <w:proofErr w:type="spellStart"/>
      <w:r w:rsidRPr="00C76FFF">
        <w:rPr>
          <w:rFonts w:asciiTheme="majorHAnsi" w:hAnsiTheme="majorHAnsi" w:cstheme="majorHAnsi"/>
          <w:iCs/>
          <w:lang w:val="en-US"/>
        </w:rPr>
        <w:t>Yablon</w:t>
      </w:r>
      <w:proofErr w:type="spellEnd"/>
      <w:r w:rsidRPr="00C76FFF">
        <w:rPr>
          <w:rFonts w:asciiTheme="majorHAnsi" w:hAnsiTheme="majorHAnsi" w:cstheme="majorHAnsi"/>
          <w:iCs/>
          <w:lang w:val="en-US"/>
        </w:rPr>
        <w:t xml:space="preserve"> 1993]</w:t>
      </w:r>
    </w:p>
    <w:p w14:paraId="6CF722BC" w14:textId="3D4606F2" w:rsidR="004D00E3" w:rsidRPr="00C76FFF" w:rsidRDefault="00C76FFF" w:rsidP="00C76FFF">
      <w:pPr>
        <w:spacing w:before="120" w:after="120" w:line="360" w:lineRule="auto"/>
        <w:ind w:firstLine="720"/>
        <w:jc w:val="both"/>
        <w:rPr>
          <w:rFonts w:asciiTheme="majorHAnsi" w:hAnsiTheme="majorHAnsi" w:cstheme="majorHAnsi"/>
          <w:iCs/>
          <w:lang w:val="en-US"/>
        </w:rPr>
      </w:pPr>
      <w:r w:rsidRPr="00C76FFF">
        <w:rPr>
          <w:rFonts w:asciiTheme="majorHAnsi" w:hAnsiTheme="majorHAnsi" w:cstheme="majorHAnsi"/>
          <w:iCs/>
          <w:lang w:val="en-US"/>
        </w:rPr>
        <w:t>Most people who develop epilepsy secondary to head trauma manifest as epileptic seizures within the first two years after the trauma or injury [da Silva 1990]. As with other types of epilepsy, the causes that link TBI to EPT have not yet been fully elucidated and it is still not possible to avoid the process of epileptogenesis. We were able to find any evidence of specific treatment to prevent or reverse seizures after TBI [2019]</w:t>
      </w:r>
    </w:p>
    <w:p w14:paraId="5FFC774A" w14:textId="77777777" w:rsidR="00A636C3" w:rsidRPr="00C76FFF" w:rsidRDefault="00A636C3">
      <w:pPr>
        <w:spacing w:before="120" w:after="120" w:line="360" w:lineRule="auto"/>
        <w:jc w:val="both"/>
        <w:rPr>
          <w:rFonts w:asciiTheme="majorHAnsi" w:hAnsiTheme="majorHAnsi" w:cstheme="majorHAnsi"/>
          <w:lang w:val="en-US"/>
        </w:rPr>
      </w:pPr>
    </w:p>
    <w:p w14:paraId="6360BEA5" w14:textId="77777777" w:rsidR="00C76FFF" w:rsidRDefault="00C76FFF" w:rsidP="00604E11">
      <w:pPr>
        <w:spacing w:before="120" w:after="120" w:line="360" w:lineRule="auto"/>
        <w:ind w:firstLine="720"/>
        <w:jc w:val="both"/>
        <w:rPr>
          <w:rFonts w:asciiTheme="majorHAnsi" w:hAnsiTheme="majorHAnsi" w:cstheme="majorHAnsi"/>
          <w:i/>
          <w:lang w:val="pt-BR"/>
        </w:rPr>
      </w:pPr>
      <w:r w:rsidRPr="00C76FFF">
        <w:rPr>
          <w:rFonts w:asciiTheme="majorHAnsi" w:hAnsiTheme="majorHAnsi" w:cstheme="majorHAnsi"/>
          <w:i/>
          <w:lang w:val="pt-BR"/>
        </w:rPr>
        <w:t>TBI treatment and EPT prevention</w:t>
      </w:r>
    </w:p>
    <w:p w14:paraId="085E48D3" w14:textId="77777777" w:rsidR="00C76FFF" w:rsidRPr="00C76FFF" w:rsidRDefault="00C76FFF" w:rsidP="00C76FFF">
      <w:pPr>
        <w:spacing w:before="120" w:after="120" w:line="360" w:lineRule="auto"/>
        <w:ind w:firstLine="720"/>
        <w:jc w:val="both"/>
        <w:rPr>
          <w:rFonts w:asciiTheme="majorHAnsi" w:hAnsiTheme="majorHAnsi" w:cstheme="majorHAnsi"/>
          <w:lang w:val="en-US"/>
        </w:rPr>
      </w:pPr>
      <w:r w:rsidRPr="00C76FFF">
        <w:rPr>
          <w:rFonts w:asciiTheme="majorHAnsi" w:hAnsiTheme="majorHAnsi" w:cstheme="majorHAnsi"/>
          <w:lang w:val="en-US"/>
        </w:rPr>
        <w:t>The therapeutic approach indicated for TBI may involve several drugs and/or surgical procedures, to care for the primary and secondary damages and essentially depends on the extent of the lesion and which areas were affected. Therapeutic advances involve drugs targeting secondary damage mechanisms, including calcium channel blockers, corticosteroids, excitatory amino acid inhibitors, N-methyl D-aspartate (NMDA) receptor antagonists, free radical scavengers, magnesium sulfate , growth factors [Salazar 1985]. Clinical trials under development using several approaches have great therapeutic potential for TBI such as erythropoietin, statins, bone marrow cells, progesterone.</w:t>
      </w:r>
    </w:p>
    <w:p w14:paraId="3D2C4317" w14:textId="241C84B2" w:rsidR="00A636C3" w:rsidRPr="00C76FFF" w:rsidRDefault="00C76FFF" w:rsidP="00C76FFF">
      <w:pPr>
        <w:spacing w:before="120" w:after="120" w:line="360" w:lineRule="auto"/>
        <w:ind w:firstLine="720"/>
        <w:jc w:val="both"/>
        <w:rPr>
          <w:rFonts w:asciiTheme="majorHAnsi" w:hAnsiTheme="majorHAnsi" w:cstheme="majorHAnsi"/>
          <w:lang w:val="en-US"/>
        </w:rPr>
      </w:pPr>
      <w:r w:rsidRPr="00C76FFF">
        <w:rPr>
          <w:rFonts w:asciiTheme="majorHAnsi" w:hAnsiTheme="majorHAnsi" w:cstheme="majorHAnsi"/>
          <w:lang w:val="en-US"/>
        </w:rPr>
        <w:t xml:space="preserve">Recent clinical trials have focused on neuroprotective strategies </w:t>
      </w:r>
      <w:proofErr w:type="gramStart"/>
      <w:r w:rsidRPr="00C76FFF">
        <w:rPr>
          <w:rFonts w:asciiTheme="majorHAnsi" w:hAnsiTheme="majorHAnsi" w:cstheme="majorHAnsi"/>
          <w:lang w:val="en-US"/>
        </w:rPr>
        <w:t>in order to</w:t>
      </w:r>
      <w:proofErr w:type="gramEnd"/>
      <w:r w:rsidRPr="00C76FFF">
        <w:rPr>
          <w:rFonts w:asciiTheme="majorHAnsi" w:hAnsiTheme="majorHAnsi" w:cstheme="majorHAnsi"/>
          <w:lang w:val="en-US"/>
        </w:rPr>
        <w:t xml:space="preserve"> prevent and/or reduce brain damage secondary to TBI [Temkin 1990]. However, none of these interventions appear to influence the occurrence of EPT [French 2013; Klein 2017; </w:t>
      </w:r>
      <w:proofErr w:type="spellStart"/>
      <w:r w:rsidRPr="00C76FFF">
        <w:rPr>
          <w:rFonts w:asciiTheme="majorHAnsi" w:hAnsiTheme="majorHAnsi" w:cstheme="majorHAnsi"/>
          <w:lang w:val="en-US"/>
        </w:rPr>
        <w:t>Piccena</w:t>
      </w:r>
      <w:proofErr w:type="spellEnd"/>
      <w:r w:rsidRPr="00C76FFF">
        <w:rPr>
          <w:rFonts w:asciiTheme="majorHAnsi" w:hAnsiTheme="majorHAnsi" w:cstheme="majorHAnsi"/>
          <w:lang w:val="en-US"/>
        </w:rPr>
        <w:t xml:space="preserve"> 2017; </w:t>
      </w:r>
      <w:proofErr w:type="spellStart"/>
      <w:r w:rsidRPr="00C76FFF">
        <w:rPr>
          <w:rFonts w:asciiTheme="majorHAnsi" w:hAnsiTheme="majorHAnsi" w:cstheme="majorHAnsi"/>
          <w:lang w:val="en-US"/>
        </w:rPr>
        <w:t>Pitkänen</w:t>
      </w:r>
      <w:proofErr w:type="spellEnd"/>
      <w:r w:rsidRPr="00C76FFF">
        <w:rPr>
          <w:rFonts w:asciiTheme="majorHAnsi" w:hAnsiTheme="majorHAnsi" w:cstheme="majorHAnsi"/>
          <w:lang w:val="en-US"/>
        </w:rPr>
        <w:t xml:space="preserve"> 2010; Temkin 2001; Temkin 2003]. Anticonvulsant substances are indicated for the control of epileptic seizures that eventually occur in an acute form, but their administration does not prevent the evolution to epilepsy [</w:t>
      </w:r>
      <w:proofErr w:type="spellStart"/>
      <w:r w:rsidRPr="00C76FFF">
        <w:rPr>
          <w:rFonts w:asciiTheme="majorHAnsi" w:hAnsiTheme="majorHAnsi" w:cstheme="majorHAnsi"/>
          <w:lang w:val="en-US"/>
        </w:rPr>
        <w:t>D'Ambrosio</w:t>
      </w:r>
      <w:proofErr w:type="spellEnd"/>
      <w:r w:rsidRPr="00C76FFF">
        <w:rPr>
          <w:rFonts w:asciiTheme="majorHAnsi" w:hAnsiTheme="majorHAnsi" w:cstheme="majorHAnsi"/>
          <w:lang w:val="en-US"/>
        </w:rPr>
        <w:t xml:space="preserve"> 2004].</w:t>
      </w:r>
    </w:p>
    <w:p w14:paraId="7B0792FF"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In this context, there are no neuroprotective drugs indicated to prevent epileptogenic processes from establishing themselves after brain damage, whether traumatic, ischemic, or otherwise [Brady 2019; Temkin 2001]. Seeking to address this gap, studies with animal models have identified that drugs that alter neuronal plasticity processes, if administered under certain conditions, have the potential to modify the natural course of EPT [</w:t>
      </w:r>
      <w:proofErr w:type="spellStart"/>
      <w:r w:rsidRPr="00BA5FB9">
        <w:rPr>
          <w:rFonts w:asciiTheme="majorHAnsi" w:hAnsiTheme="majorHAnsi" w:cstheme="majorHAnsi"/>
          <w:lang w:val="en-US"/>
        </w:rPr>
        <w:t>Bittencourt</w:t>
      </w:r>
      <w:proofErr w:type="spellEnd"/>
      <w:r w:rsidRPr="00BA5FB9">
        <w:rPr>
          <w:rFonts w:asciiTheme="majorHAnsi" w:hAnsiTheme="majorHAnsi" w:cstheme="majorHAnsi"/>
          <w:lang w:val="en-US"/>
        </w:rPr>
        <w:t xml:space="preserve"> 2017].</w:t>
      </w:r>
    </w:p>
    <w:p w14:paraId="6C9F3286"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lastRenderedPageBreak/>
        <w:t xml:space="preserve">Specifically regarding the conditions mentioned in the study by </w:t>
      </w:r>
      <w:proofErr w:type="spellStart"/>
      <w:r w:rsidRPr="00BA5FB9">
        <w:rPr>
          <w:rFonts w:asciiTheme="majorHAnsi" w:hAnsiTheme="majorHAnsi" w:cstheme="majorHAnsi"/>
          <w:lang w:val="en-US"/>
        </w:rPr>
        <w:t>Bittencourt</w:t>
      </w:r>
      <w:proofErr w:type="spellEnd"/>
      <w:r w:rsidRPr="00BA5FB9">
        <w:rPr>
          <w:rFonts w:asciiTheme="majorHAnsi" w:hAnsiTheme="majorHAnsi" w:cstheme="majorHAnsi"/>
          <w:lang w:val="en-US"/>
        </w:rPr>
        <w:t xml:space="preserve">, et al., [2017], there is: a) the therapeutic window, that is, the interval and time between the injurious event (TBI) and the administration of the first dose of biperiden (indicated in our project as having to be equal to or less than 12 h); b) the duration of the modulation of the neuronal plasticity process, </w:t>
      </w:r>
      <w:proofErr w:type="spellStart"/>
      <w:r w:rsidRPr="00BA5FB9">
        <w:rPr>
          <w:rFonts w:asciiTheme="majorHAnsi" w:hAnsiTheme="majorHAnsi" w:cstheme="majorHAnsi"/>
          <w:lang w:val="en-US"/>
        </w:rPr>
        <w:t>ie</w:t>
      </w:r>
      <w:proofErr w:type="spellEnd"/>
      <w:r w:rsidRPr="00BA5FB9">
        <w:rPr>
          <w:rFonts w:asciiTheme="majorHAnsi" w:hAnsiTheme="majorHAnsi" w:cstheme="majorHAnsi"/>
          <w:lang w:val="en-US"/>
        </w:rPr>
        <w:t xml:space="preserve"> the duration of treatment with biperiden (indicated in our protocol as 10 days); c) the dose of biperiden, 5 mg every 6 hours. Evidence from preclinical phase studies has indicated that these three conditions above must be met for biperiden to demonstrate effectiveness as an agent capable of demonstrating an action to modify the natural course of the disease [</w:t>
      </w:r>
      <w:proofErr w:type="spellStart"/>
      <w:r w:rsidRPr="00BA5FB9">
        <w:rPr>
          <w:rFonts w:asciiTheme="majorHAnsi" w:hAnsiTheme="majorHAnsi" w:cstheme="majorHAnsi"/>
          <w:lang w:val="en-US"/>
        </w:rPr>
        <w:t>Bittencourt</w:t>
      </w:r>
      <w:proofErr w:type="spellEnd"/>
      <w:r w:rsidRPr="00BA5FB9">
        <w:rPr>
          <w:rFonts w:asciiTheme="majorHAnsi" w:hAnsiTheme="majorHAnsi" w:cstheme="majorHAnsi"/>
          <w:lang w:val="en-US"/>
        </w:rPr>
        <w:t xml:space="preserve"> 2017].</w:t>
      </w:r>
    </w:p>
    <w:p w14:paraId="3262427B"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In experimental studies using models of epilepsy, biperiden, an anticholinergic used clinically for Parkinson's, was shown to have an action on neuronal plasticity, reducing the incidence and intensity of spontaneous epileptic seizures and delaying their onset [</w:t>
      </w:r>
      <w:proofErr w:type="spellStart"/>
      <w:r w:rsidRPr="00BA5FB9">
        <w:rPr>
          <w:rFonts w:asciiTheme="majorHAnsi" w:hAnsiTheme="majorHAnsi" w:cstheme="majorHAnsi"/>
          <w:lang w:val="en-US"/>
        </w:rPr>
        <w:t>Bittencourt</w:t>
      </w:r>
      <w:proofErr w:type="spellEnd"/>
      <w:r w:rsidRPr="00BA5FB9">
        <w:rPr>
          <w:rFonts w:asciiTheme="majorHAnsi" w:hAnsiTheme="majorHAnsi" w:cstheme="majorHAnsi"/>
          <w:lang w:val="en-US"/>
        </w:rPr>
        <w:t xml:space="preserve"> 2017; </w:t>
      </w:r>
      <w:proofErr w:type="spellStart"/>
      <w:r w:rsidRPr="00BA5FB9">
        <w:rPr>
          <w:rFonts w:asciiTheme="majorHAnsi" w:hAnsiTheme="majorHAnsi" w:cstheme="majorHAnsi"/>
          <w:lang w:val="en-US"/>
        </w:rPr>
        <w:t>Gorgati</w:t>
      </w:r>
      <w:proofErr w:type="spellEnd"/>
      <w:r w:rsidRPr="00BA5FB9">
        <w:rPr>
          <w:rFonts w:asciiTheme="majorHAnsi" w:hAnsiTheme="majorHAnsi" w:cstheme="majorHAnsi"/>
          <w:lang w:val="en-US"/>
        </w:rPr>
        <w:t xml:space="preserve"> 2009].</w:t>
      </w:r>
    </w:p>
    <w:p w14:paraId="7E9D2FA3"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So far, a pilot study with a small sample size has been carried out to estimate the safety and effects of biperiden in this scenario. This study has now been completed, and its results have been published recently (</w:t>
      </w:r>
      <w:proofErr w:type="spellStart"/>
      <w:r w:rsidRPr="00BA5FB9">
        <w:rPr>
          <w:rFonts w:asciiTheme="majorHAnsi" w:hAnsiTheme="majorHAnsi" w:cstheme="majorHAnsi"/>
          <w:lang w:val="en-US"/>
        </w:rPr>
        <w:t>Benassi</w:t>
      </w:r>
      <w:proofErr w:type="spellEnd"/>
      <w:r w:rsidRPr="00BA5FB9">
        <w:rPr>
          <w:rFonts w:asciiTheme="majorHAnsi" w:hAnsiTheme="majorHAnsi" w:cstheme="majorHAnsi"/>
          <w:lang w:val="en-US"/>
        </w:rPr>
        <w:t xml:space="preserve"> et al., 2021). In addition, a clinical trial (NCT01048138) has been conducted, both by the same investigator (Dr. Luiz Mello).</w:t>
      </w:r>
    </w:p>
    <w:p w14:paraId="089104F1" w14:textId="77777777" w:rsid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A pilot safety study was carried out with 8 patients at Hospital São Paulo. This test, carried out between 2005 and 2007, was approved by the CEP of Hospital São Paulo (560-05) and consisted of the administration of 5 mg of biperiden (or placebo) every 6 hours and for 10 days. This study (</w:t>
      </w:r>
      <w:proofErr w:type="spellStart"/>
      <w:r w:rsidRPr="00BA5FB9">
        <w:rPr>
          <w:rFonts w:asciiTheme="majorHAnsi" w:hAnsiTheme="majorHAnsi" w:cstheme="majorHAnsi"/>
          <w:lang w:val="en-US"/>
        </w:rPr>
        <w:t>Benassi</w:t>
      </w:r>
      <w:proofErr w:type="spellEnd"/>
      <w:r w:rsidRPr="00BA5FB9">
        <w:rPr>
          <w:rFonts w:asciiTheme="majorHAnsi" w:hAnsiTheme="majorHAnsi" w:cstheme="majorHAnsi"/>
          <w:lang w:val="en-US"/>
        </w:rPr>
        <w:t xml:space="preserve"> et al., 2021) indicated the safety of biperiden under the conditions of the study being proposed by PROADI-SUS. Adverse reactions including nausea, dizziness and transient memory loss were all transient (only during medication administration).</w:t>
      </w:r>
    </w:p>
    <w:p w14:paraId="5500A617"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 xml:space="preserve">These 8 patients received treatment or placebo control and were followed up chronically. In patients who received placebo, one to two seizures, or even death, occurred, whereas in those treated with biperiden, none died, none developed overt epileptic seizures, and only one developed </w:t>
      </w:r>
      <w:proofErr w:type="gramStart"/>
      <w:r w:rsidRPr="00BA5FB9">
        <w:rPr>
          <w:rFonts w:asciiTheme="majorHAnsi" w:hAnsiTheme="majorHAnsi" w:cstheme="majorHAnsi"/>
          <w:lang w:val="en-US"/>
        </w:rPr>
        <w:t>abnormalities</w:t>
      </w:r>
      <w:proofErr w:type="gramEnd"/>
      <w:r w:rsidRPr="00BA5FB9">
        <w:rPr>
          <w:rFonts w:asciiTheme="majorHAnsi" w:hAnsiTheme="majorHAnsi" w:cstheme="majorHAnsi"/>
          <w:lang w:val="en-US"/>
        </w:rPr>
        <w:t xml:space="preserve"> in the EEG recordings. This first study was not, however, intended to assess efficacy, but rather the safety of biperiden at the dose we injected and in the condition after TBI. We observed only a few moderate adverse effects that could be associated with the use of biperiden during the experimental protocol. Vomiting and vertigo occurred separately in two patients, but this does not differ from the expected effects already related to this drug. One patient experienced mild, transient memory loss during treatment, which could be due to head trauma or suggest a consequence of biperiden.</w:t>
      </w:r>
    </w:p>
    <w:p w14:paraId="6C58EF77" w14:textId="77777777" w:rsid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lastRenderedPageBreak/>
        <w:t>Similarly, another patient, who had vertigo, also had a maze concussion on imaging. Interestingly, no side effects that could potentially be associated with biperiden use were observed in one of the patients. Therefore, the results of this first study confirm that intravenous injection of biperiden can also</w:t>
      </w:r>
      <w:r>
        <w:rPr>
          <w:rFonts w:asciiTheme="majorHAnsi" w:hAnsiTheme="majorHAnsi" w:cstheme="majorHAnsi"/>
          <w:lang w:val="en-US"/>
        </w:rPr>
        <w:t xml:space="preserve"> </w:t>
      </w:r>
      <w:r w:rsidRPr="00BA5FB9">
        <w:rPr>
          <w:rFonts w:asciiTheme="majorHAnsi" w:hAnsiTheme="majorHAnsi" w:cstheme="majorHAnsi"/>
          <w:lang w:val="en-US"/>
        </w:rPr>
        <w:t>be used safely after TBI.</w:t>
      </w:r>
    </w:p>
    <w:p w14:paraId="3C555148" w14:textId="236FD830" w:rsidR="00482CCF" w:rsidRPr="00BA5FB9" w:rsidRDefault="00523C61" w:rsidP="00E84065">
      <w:pPr>
        <w:spacing w:before="120" w:after="120" w:line="360" w:lineRule="auto"/>
        <w:ind w:firstLine="720"/>
        <w:jc w:val="center"/>
        <w:rPr>
          <w:rFonts w:asciiTheme="majorHAnsi" w:hAnsiTheme="majorHAnsi" w:cstheme="majorHAnsi"/>
          <w:lang w:val="en-US"/>
        </w:rPr>
      </w:pPr>
      <w:r w:rsidRPr="00523C61">
        <w:rPr>
          <w:noProof/>
        </w:rPr>
        <w:drawing>
          <wp:inline distT="0" distB="0" distL="0" distR="0" wp14:anchorId="5290B0C1" wp14:editId="2CAA7C50">
            <wp:extent cx="4152900" cy="2950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950210"/>
                    </a:xfrm>
                    <a:prstGeom prst="rect">
                      <a:avLst/>
                    </a:prstGeom>
                    <a:noFill/>
                    <a:ln>
                      <a:noFill/>
                    </a:ln>
                  </pic:spPr>
                </pic:pic>
              </a:graphicData>
            </a:graphic>
          </wp:inline>
        </w:drawing>
      </w:r>
    </w:p>
    <w:p w14:paraId="08C00DC2"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 xml:space="preserve">The clinical trial (NCT01048138) focuses on mechanisms of action and molecular markers and has as primary outcomes the frequency of seizures and the presence of epileptic discharge on electroencephalogram during the first 10 days after TBI and the subsequent 1, 3, 6, 9, 12, 18 and 24 months. This study is carried out in a single center (Hospital das </w:t>
      </w:r>
      <w:proofErr w:type="spellStart"/>
      <w:r w:rsidRPr="00BA5FB9">
        <w:rPr>
          <w:rFonts w:asciiTheme="majorHAnsi" w:hAnsiTheme="majorHAnsi" w:cstheme="majorHAnsi"/>
          <w:lang w:val="en-US"/>
        </w:rPr>
        <w:t>Clínicas</w:t>
      </w:r>
      <w:proofErr w:type="spellEnd"/>
      <w:r w:rsidRPr="00BA5FB9">
        <w:rPr>
          <w:rFonts w:asciiTheme="majorHAnsi" w:hAnsiTheme="majorHAnsi" w:cstheme="majorHAnsi"/>
          <w:lang w:val="en-US"/>
        </w:rPr>
        <w:t xml:space="preserve"> da </w:t>
      </w:r>
      <w:proofErr w:type="spellStart"/>
      <w:r w:rsidRPr="00BA5FB9">
        <w:rPr>
          <w:rFonts w:asciiTheme="majorHAnsi" w:hAnsiTheme="majorHAnsi" w:cstheme="majorHAnsi"/>
          <w:lang w:val="en-US"/>
        </w:rPr>
        <w:t>Faculdade</w:t>
      </w:r>
      <w:proofErr w:type="spellEnd"/>
      <w:r w:rsidRPr="00BA5FB9">
        <w:rPr>
          <w:rFonts w:asciiTheme="majorHAnsi" w:hAnsiTheme="majorHAnsi" w:cstheme="majorHAnsi"/>
          <w:lang w:val="en-US"/>
        </w:rPr>
        <w:t xml:space="preserve"> de </w:t>
      </w:r>
      <w:proofErr w:type="spellStart"/>
      <w:r w:rsidRPr="00BA5FB9">
        <w:rPr>
          <w:rFonts w:asciiTheme="majorHAnsi" w:hAnsiTheme="majorHAnsi" w:cstheme="majorHAnsi"/>
          <w:lang w:val="en-US"/>
        </w:rPr>
        <w:t>Medicina</w:t>
      </w:r>
      <w:proofErr w:type="spellEnd"/>
      <w:r w:rsidRPr="00BA5FB9">
        <w:rPr>
          <w:rFonts w:asciiTheme="majorHAnsi" w:hAnsiTheme="majorHAnsi" w:cstheme="majorHAnsi"/>
          <w:lang w:val="en-US"/>
        </w:rPr>
        <w:t xml:space="preserve"> da USP) and there are no definitive or published results yet, since the study is in the final phase of execution and the data remain closed in relation to the experimental groups (placebo x treatment, double-blind study), whose stage was compromised by the new coronavirus pandemic.</w:t>
      </w:r>
    </w:p>
    <w:p w14:paraId="02218855" w14:textId="77777777" w:rsid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 xml:space="preserve">However, as preliminary results until April 2020, the study had a total of 122 patients included and randomized. age and both sexes). Of this total, 23 patients have been “excluded” from the sample so far, who had some reason that met the exclusion criteria, did not confirm the inclusion </w:t>
      </w:r>
      <w:proofErr w:type="gramStart"/>
      <w:r w:rsidRPr="00BA5FB9">
        <w:rPr>
          <w:rFonts w:asciiTheme="majorHAnsi" w:hAnsiTheme="majorHAnsi" w:cstheme="majorHAnsi"/>
          <w:lang w:val="en-US"/>
        </w:rPr>
        <w:t>criteria</w:t>
      </w:r>
      <w:proofErr w:type="gramEnd"/>
      <w:r w:rsidRPr="00BA5FB9">
        <w:rPr>
          <w:rFonts w:asciiTheme="majorHAnsi" w:hAnsiTheme="majorHAnsi" w:cstheme="majorHAnsi"/>
          <w:lang w:val="en-US"/>
        </w:rPr>
        <w:t xml:space="preserve"> or were discontinued at the option of the medical team and/or non-adherence to the protocol. Another 12 patients are in “doubt” status regarding their stay in follow-up in the study for different reasons, such as: no telephone contact, transferred from hospital, changed state, among others. In these cases, the team is working to get these patients to resume follow-up, but this has not yet been done.</w:t>
      </w:r>
    </w:p>
    <w:p w14:paraId="401B0912"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lastRenderedPageBreak/>
        <w:t xml:space="preserve">In addition, another 22 patients </w:t>
      </w:r>
      <w:proofErr w:type="gramStart"/>
      <w:r w:rsidRPr="00BA5FB9">
        <w:rPr>
          <w:rFonts w:asciiTheme="majorHAnsi" w:hAnsiTheme="majorHAnsi" w:cstheme="majorHAnsi"/>
          <w:lang w:val="en-US"/>
        </w:rPr>
        <w:t>died</w:t>
      </w:r>
      <w:proofErr w:type="gramEnd"/>
      <w:r w:rsidRPr="00BA5FB9">
        <w:rPr>
          <w:rFonts w:asciiTheme="majorHAnsi" w:hAnsiTheme="majorHAnsi" w:cstheme="majorHAnsi"/>
          <w:lang w:val="en-US"/>
        </w:rPr>
        <w:t xml:space="preserve"> and 65 patients (53% of the sample) remain in follow-up. Of the patients in follow-up, 13 completed 24 months of study, and of these, 5 returned for the final evaluation. As already mentioned, the new coronavirus pandemic compromised the progress of the study and as soon as authorized, patient evaluation returns will resume, even with delays in the previously stipulated times. Regarding the presence of epileptic seizures, which indicate the development of post-traumatic epilepsy, clinical seizures were confirmed in 4 patients. Two cases present reports suggestive of seizures but still need confirmation. Another 5 cases were highlighted for presenting episodes that could also be related to the crisis, but for now are less evident.</w:t>
      </w:r>
    </w:p>
    <w:p w14:paraId="6837CB88"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The study NCT01048138 in question has not yet had the results published, however, its methodology will serve as a basis for the methodology of the present project proposed to MS by PROADI-SUS. It is possible that we will have more information from this study in the second half of 2020.</w:t>
      </w:r>
    </w:p>
    <w:p w14:paraId="3F8811FF"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It should be noted that there will be no double funding and that patients recruited with funds from PROADI-SUS will not be part of the other ongoing study.</w:t>
      </w:r>
    </w:p>
    <w:p w14:paraId="62274B8F" w14:textId="77777777" w:rsidR="00BA5FB9" w:rsidRPr="00BA5FB9" w:rsidRDefault="00BA5FB9" w:rsidP="00BA5FB9">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The present proposed project focuses on clinical efficacy and safety and has as primary endpoints the proportion of participants who develop TPE and/or serious adverse events in the period between 7 days and 24 months after TBI, in addition to being a multicenter study, of have a larger sample size and to consider a cost-effectiveness study at the end. More information about the outcomes of this proposed project can be found under the item “outcomes”.</w:t>
      </w:r>
    </w:p>
    <w:p w14:paraId="3891A51B" w14:textId="77777777" w:rsidR="00BA5FB9" w:rsidRDefault="00BA5FB9" w:rsidP="00BA5FB9">
      <w:pPr>
        <w:spacing w:before="120" w:after="120" w:line="360" w:lineRule="auto"/>
        <w:ind w:firstLine="720"/>
        <w:jc w:val="both"/>
        <w:rPr>
          <w:rFonts w:asciiTheme="majorHAnsi" w:hAnsiTheme="majorHAnsi" w:cstheme="majorHAnsi"/>
          <w:lang w:val="pt-BR"/>
        </w:rPr>
      </w:pPr>
      <w:r w:rsidRPr="00BA5FB9">
        <w:rPr>
          <w:rFonts w:asciiTheme="majorHAnsi" w:hAnsiTheme="majorHAnsi" w:cstheme="majorHAnsi"/>
          <w:lang w:val="en-US"/>
        </w:rPr>
        <w:t xml:space="preserve">Additionally, Traumatic Brain Injury (TBI) is an event with serious repercussions for the individual and for society. The incidence of post-traumatic epilepsy (PTE), which can affect almost 50% of individuals after a TBI, is one of the clearest of these repercussions. Unfortunately, there is no treatment in the world that has been shown to be effective in reducing EPT. Our project has the potential to open a window that would represent an opportunity not only for the health system in Brazil, but for the world. It is an approach with great potential for innovation developed by Brazilian scientists with international leadership and recognition. </w:t>
      </w:r>
      <w:r w:rsidRPr="00BA5FB9">
        <w:rPr>
          <w:rFonts w:asciiTheme="majorHAnsi" w:hAnsiTheme="majorHAnsi" w:cstheme="majorHAnsi"/>
          <w:lang w:val="pt-BR"/>
        </w:rPr>
        <w:t>The allocation of resources by PROADI-SUS will focus exclusively on clinical effectiveness and cost effectiveness will allow the inclusion of a sufficient number of patients and thus should be more conclusive.</w:t>
      </w:r>
    </w:p>
    <w:p w14:paraId="2EC90D4D" w14:textId="6BFA51E1" w:rsidR="00146F6D" w:rsidRPr="00BA5FB9" w:rsidRDefault="00BA5FB9" w:rsidP="00604E11">
      <w:pPr>
        <w:spacing w:before="120" w:after="120" w:line="360" w:lineRule="auto"/>
        <w:ind w:firstLine="720"/>
        <w:jc w:val="both"/>
        <w:rPr>
          <w:rFonts w:asciiTheme="majorHAnsi" w:hAnsiTheme="majorHAnsi" w:cstheme="majorHAnsi"/>
          <w:lang w:val="en-US"/>
        </w:rPr>
      </w:pPr>
      <w:r w:rsidRPr="00BA5FB9">
        <w:rPr>
          <w:rFonts w:asciiTheme="majorHAnsi" w:hAnsiTheme="majorHAnsi" w:cstheme="majorHAnsi"/>
          <w:lang w:val="en-US"/>
        </w:rPr>
        <w:t xml:space="preserve">Considering the morbidity associated with EPT, its impact on the quality of life of patients and their families, the consequences for society and the health system, as well as the costs associated with its treatment, it is essential to evaluate, through a trial, well-designed and well-conducted randomized clinical trial, the </w:t>
      </w:r>
      <w:proofErr w:type="gramStart"/>
      <w:r w:rsidRPr="00BA5FB9">
        <w:rPr>
          <w:rFonts w:asciiTheme="majorHAnsi" w:hAnsiTheme="majorHAnsi" w:cstheme="majorHAnsi"/>
          <w:lang w:val="en-US"/>
        </w:rPr>
        <w:t>benefits</w:t>
      </w:r>
      <w:proofErr w:type="gramEnd"/>
      <w:r w:rsidRPr="00BA5FB9">
        <w:rPr>
          <w:rFonts w:asciiTheme="majorHAnsi" w:hAnsiTheme="majorHAnsi" w:cstheme="majorHAnsi"/>
          <w:lang w:val="en-US"/>
        </w:rPr>
        <w:t xml:space="preserve"> and risks of an intervention to prevent it. Additionally, if the effectiveness and </w:t>
      </w:r>
      <w:r w:rsidRPr="00BA5FB9">
        <w:rPr>
          <w:rFonts w:asciiTheme="majorHAnsi" w:hAnsiTheme="majorHAnsi" w:cstheme="majorHAnsi"/>
          <w:lang w:val="en-US"/>
        </w:rPr>
        <w:lastRenderedPageBreak/>
        <w:t>safety of the intervention are proven, the assessment of its cost-effectiveness becomes fundamental for its implementation in clinical practice and for its incorporation into the Unified Health System.</w:t>
      </w:r>
    </w:p>
    <w:p w14:paraId="5EF9A7C7" w14:textId="358CADC5" w:rsidR="00A636C3" w:rsidRPr="00412E44" w:rsidRDefault="00BA5FB9">
      <w:pPr>
        <w:numPr>
          <w:ilvl w:val="0"/>
          <w:numId w:val="12"/>
        </w:numPr>
        <w:spacing w:line="360" w:lineRule="auto"/>
        <w:jc w:val="both"/>
        <w:rPr>
          <w:rFonts w:asciiTheme="majorHAnsi" w:hAnsiTheme="majorHAnsi" w:cstheme="majorHAnsi"/>
          <w:b/>
        </w:rPr>
      </w:pPr>
      <w:r>
        <w:rPr>
          <w:rFonts w:asciiTheme="majorHAnsi" w:hAnsiTheme="majorHAnsi" w:cstheme="majorHAnsi"/>
          <w:b/>
        </w:rPr>
        <w:t>Aims</w:t>
      </w:r>
    </w:p>
    <w:p w14:paraId="2AA65D21" w14:textId="77777777" w:rsidR="00A636C3" w:rsidRPr="00412E44" w:rsidRDefault="00A636C3">
      <w:pPr>
        <w:spacing w:line="360" w:lineRule="auto"/>
        <w:ind w:left="360" w:hanging="720"/>
        <w:jc w:val="both"/>
        <w:rPr>
          <w:rFonts w:asciiTheme="majorHAnsi" w:hAnsiTheme="majorHAnsi" w:cstheme="majorHAnsi"/>
          <w:b/>
          <w:u w:val="single"/>
        </w:rPr>
      </w:pPr>
    </w:p>
    <w:p w14:paraId="4B4F7AAD" w14:textId="562481DD" w:rsidR="00A636C3" w:rsidRPr="00412E44" w:rsidRDefault="00BA5FB9">
      <w:pPr>
        <w:numPr>
          <w:ilvl w:val="0"/>
          <w:numId w:val="4"/>
        </w:numPr>
        <w:spacing w:line="360" w:lineRule="auto"/>
        <w:jc w:val="both"/>
        <w:rPr>
          <w:rFonts w:asciiTheme="majorHAnsi" w:hAnsiTheme="majorHAnsi" w:cstheme="majorHAnsi"/>
          <w:b/>
        </w:rPr>
      </w:pPr>
      <w:r>
        <w:rPr>
          <w:rFonts w:asciiTheme="majorHAnsi" w:hAnsiTheme="majorHAnsi" w:cstheme="majorHAnsi"/>
          <w:b/>
        </w:rPr>
        <w:t>Aim</w:t>
      </w:r>
    </w:p>
    <w:p w14:paraId="7BEBD4E6" w14:textId="23C7C8CD" w:rsidR="0036255E" w:rsidRPr="00BA5FB9" w:rsidRDefault="00BA5FB9" w:rsidP="00604E11">
      <w:pPr>
        <w:spacing w:line="360" w:lineRule="auto"/>
        <w:ind w:left="65" w:firstLine="361"/>
        <w:jc w:val="both"/>
        <w:rPr>
          <w:rFonts w:asciiTheme="majorHAnsi" w:hAnsiTheme="majorHAnsi" w:cstheme="majorHAnsi"/>
          <w:color w:val="26282A"/>
          <w:lang w:val="en-US"/>
        </w:rPr>
      </w:pPr>
      <w:r w:rsidRPr="00BA5FB9">
        <w:rPr>
          <w:rFonts w:asciiTheme="majorHAnsi" w:hAnsiTheme="majorHAnsi" w:cstheme="majorHAnsi"/>
          <w:lang w:val="en-US"/>
        </w:rPr>
        <w:t>To evaluate the effects (benefits and risks) and cost-effectiveness of using biperiden for the prevention of post-traumatic epilepsy (PTS) in patients with traumatic brain injury (TBI) and confirmed intraparenchymal hemorrhage and/or contusion.</w:t>
      </w:r>
    </w:p>
    <w:p w14:paraId="105E8F7D" w14:textId="77777777" w:rsidR="00A636C3" w:rsidRPr="00BA5FB9" w:rsidRDefault="00A636C3">
      <w:pPr>
        <w:spacing w:line="360" w:lineRule="auto"/>
        <w:ind w:left="786" w:hanging="720"/>
        <w:jc w:val="both"/>
        <w:rPr>
          <w:rFonts w:asciiTheme="majorHAnsi" w:hAnsiTheme="majorHAnsi" w:cstheme="majorHAnsi"/>
          <w:b/>
          <w:lang w:val="en-US"/>
        </w:rPr>
      </w:pPr>
    </w:p>
    <w:p w14:paraId="16B36CFA" w14:textId="3DFC37D3" w:rsidR="00A636C3" w:rsidRPr="00412E44" w:rsidRDefault="00BA5FB9">
      <w:pPr>
        <w:numPr>
          <w:ilvl w:val="0"/>
          <w:numId w:val="4"/>
        </w:numPr>
        <w:spacing w:line="360" w:lineRule="auto"/>
        <w:jc w:val="both"/>
        <w:rPr>
          <w:rFonts w:asciiTheme="majorHAnsi" w:hAnsiTheme="majorHAnsi" w:cstheme="majorHAnsi"/>
          <w:b/>
        </w:rPr>
      </w:pPr>
      <w:proofErr w:type="spellStart"/>
      <w:r>
        <w:rPr>
          <w:rFonts w:asciiTheme="majorHAnsi" w:hAnsiTheme="majorHAnsi" w:cstheme="majorHAnsi"/>
          <w:b/>
        </w:rPr>
        <w:t>Specidic</w:t>
      </w:r>
      <w:proofErr w:type="spellEnd"/>
      <w:r>
        <w:rPr>
          <w:rFonts w:asciiTheme="majorHAnsi" w:hAnsiTheme="majorHAnsi" w:cstheme="majorHAnsi"/>
          <w:b/>
        </w:rPr>
        <w:t xml:space="preserve"> aims</w:t>
      </w:r>
    </w:p>
    <w:p w14:paraId="1F5D1C49" w14:textId="21C67363" w:rsidR="00BA5FB9" w:rsidRPr="00BA5FB9" w:rsidRDefault="00BA5FB9" w:rsidP="00BA5FB9">
      <w:pPr>
        <w:spacing w:line="360" w:lineRule="auto"/>
        <w:ind w:left="786" w:hanging="66"/>
        <w:jc w:val="both"/>
        <w:rPr>
          <w:rFonts w:asciiTheme="majorHAnsi" w:hAnsiTheme="majorHAnsi" w:cstheme="majorHAnsi"/>
          <w:bCs/>
          <w:lang w:val="en-US"/>
        </w:rPr>
      </w:pPr>
      <w:r w:rsidRPr="00BA5FB9">
        <w:rPr>
          <w:rFonts w:asciiTheme="majorHAnsi" w:hAnsiTheme="majorHAnsi" w:cstheme="majorHAnsi"/>
          <w:bCs/>
          <w:lang w:val="en-US"/>
        </w:rPr>
        <w:t xml:space="preserve">1. To </w:t>
      </w:r>
      <w:proofErr w:type="spellStart"/>
      <w:r w:rsidRPr="00BA5FB9">
        <w:rPr>
          <w:rFonts w:asciiTheme="majorHAnsi" w:hAnsiTheme="majorHAnsi" w:cstheme="majorHAnsi"/>
          <w:bCs/>
          <w:lang w:val="en-US"/>
        </w:rPr>
        <w:t>ssess</w:t>
      </w:r>
      <w:proofErr w:type="spellEnd"/>
      <w:r w:rsidRPr="00BA5FB9">
        <w:rPr>
          <w:rFonts w:asciiTheme="majorHAnsi" w:hAnsiTheme="majorHAnsi" w:cstheme="majorHAnsi"/>
          <w:bCs/>
          <w:lang w:val="en-US"/>
        </w:rPr>
        <w:t xml:space="preserve"> the effectiveness of biperiden for preventing EPT.</w:t>
      </w:r>
    </w:p>
    <w:p w14:paraId="5212D95C" w14:textId="4E441D32" w:rsidR="00BA5FB9" w:rsidRPr="00BA5FB9" w:rsidRDefault="00BA5FB9" w:rsidP="00BA5FB9">
      <w:pPr>
        <w:spacing w:line="360" w:lineRule="auto"/>
        <w:ind w:left="786" w:hanging="66"/>
        <w:jc w:val="both"/>
        <w:rPr>
          <w:rFonts w:asciiTheme="majorHAnsi" w:hAnsiTheme="majorHAnsi" w:cstheme="majorHAnsi"/>
          <w:bCs/>
          <w:lang w:val="en-US"/>
        </w:rPr>
      </w:pPr>
      <w:r w:rsidRPr="00BA5FB9">
        <w:rPr>
          <w:rFonts w:asciiTheme="majorHAnsi" w:hAnsiTheme="majorHAnsi" w:cstheme="majorHAnsi"/>
          <w:bCs/>
          <w:lang w:val="en-US"/>
        </w:rPr>
        <w:t>2. To assess the safety of biperiden for EPT prevention.</w:t>
      </w:r>
    </w:p>
    <w:p w14:paraId="2008F082" w14:textId="3DA268FB" w:rsidR="00A636C3" w:rsidRPr="00BA5FB9" w:rsidRDefault="00BA5FB9" w:rsidP="00BA5FB9">
      <w:pPr>
        <w:spacing w:line="360" w:lineRule="auto"/>
        <w:ind w:left="786" w:hanging="66"/>
        <w:jc w:val="both"/>
        <w:rPr>
          <w:rFonts w:asciiTheme="majorHAnsi" w:hAnsiTheme="majorHAnsi" w:cstheme="majorHAnsi"/>
          <w:bCs/>
          <w:lang w:val="en-US"/>
        </w:rPr>
      </w:pPr>
      <w:r w:rsidRPr="00BA5FB9">
        <w:rPr>
          <w:rFonts w:asciiTheme="majorHAnsi" w:hAnsiTheme="majorHAnsi" w:cstheme="majorHAnsi"/>
          <w:bCs/>
          <w:lang w:val="en-US"/>
        </w:rPr>
        <w:t>3. To assess the cost-effectiveness of biperiden for preventing EPT.</w:t>
      </w:r>
    </w:p>
    <w:p w14:paraId="7F2A1102" w14:textId="77290BD9" w:rsidR="00F30E9E" w:rsidRPr="00BA5FB9" w:rsidRDefault="00F30E9E">
      <w:pPr>
        <w:spacing w:line="360" w:lineRule="auto"/>
        <w:ind w:left="360" w:hanging="720"/>
        <w:jc w:val="both"/>
        <w:rPr>
          <w:rFonts w:asciiTheme="majorHAnsi" w:hAnsiTheme="majorHAnsi" w:cstheme="majorHAnsi"/>
          <w:b/>
          <w:u w:val="single"/>
          <w:lang w:val="en-US"/>
        </w:rPr>
      </w:pPr>
    </w:p>
    <w:p w14:paraId="7CB87379" w14:textId="77777777" w:rsidR="00F30E9E" w:rsidRPr="00BA5FB9" w:rsidRDefault="00F30E9E">
      <w:pPr>
        <w:spacing w:line="360" w:lineRule="auto"/>
        <w:ind w:left="360" w:hanging="720"/>
        <w:jc w:val="both"/>
        <w:rPr>
          <w:rFonts w:asciiTheme="majorHAnsi" w:hAnsiTheme="majorHAnsi" w:cstheme="majorHAnsi"/>
          <w:b/>
          <w:u w:val="single"/>
          <w:lang w:val="en-US"/>
        </w:rPr>
      </w:pPr>
    </w:p>
    <w:p w14:paraId="0D1A6E7B" w14:textId="2A42E3E2" w:rsidR="00A636C3" w:rsidRPr="00412E44" w:rsidRDefault="00BA5FB9">
      <w:pPr>
        <w:numPr>
          <w:ilvl w:val="0"/>
          <w:numId w:val="12"/>
        </w:numPr>
        <w:spacing w:after="160" w:line="360" w:lineRule="auto"/>
        <w:jc w:val="both"/>
        <w:rPr>
          <w:rFonts w:asciiTheme="majorHAnsi" w:hAnsiTheme="majorHAnsi" w:cstheme="majorHAnsi"/>
          <w:b/>
        </w:rPr>
      </w:pPr>
      <w:r>
        <w:rPr>
          <w:rFonts w:asciiTheme="majorHAnsi" w:hAnsiTheme="majorHAnsi" w:cstheme="majorHAnsi"/>
          <w:b/>
        </w:rPr>
        <w:t>Methods</w:t>
      </w:r>
    </w:p>
    <w:p w14:paraId="7278F92B" w14:textId="054C08FC" w:rsidR="00A636C3" w:rsidRPr="00BA5FB9" w:rsidRDefault="00BA5FB9">
      <w:pPr>
        <w:spacing w:line="360" w:lineRule="auto"/>
        <w:jc w:val="both"/>
        <w:rPr>
          <w:rFonts w:asciiTheme="majorHAnsi" w:hAnsiTheme="majorHAnsi" w:cstheme="majorHAnsi"/>
          <w:lang w:val="en-US"/>
        </w:rPr>
      </w:pPr>
      <w:r w:rsidRPr="00BA5FB9">
        <w:rPr>
          <w:rFonts w:asciiTheme="majorHAnsi" w:hAnsiTheme="majorHAnsi" w:cstheme="majorHAnsi"/>
          <w:lang w:val="en-US"/>
        </w:rPr>
        <w:t>Considering the specific objectives established, the activities described below are foreseen, detailed in relation to methodological and operational aspects.</w:t>
      </w:r>
      <w:r w:rsidR="00DA6D78" w:rsidRPr="00BA5FB9">
        <w:rPr>
          <w:rFonts w:asciiTheme="majorHAnsi" w:hAnsiTheme="majorHAnsi" w:cstheme="majorHAnsi"/>
          <w:lang w:val="en-US"/>
        </w:rPr>
        <w:t xml:space="preserve"> </w:t>
      </w:r>
    </w:p>
    <w:tbl>
      <w:tblPr>
        <w:tblStyle w:val="8"/>
        <w:tblW w:w="9360" w:type="dxa"/>
        <w:tblInd w:w="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9360"/>
      </w:tblGrid>
      <w:tr w:rsidR="00A636C3" w:rsidRPr="00BA5FB9" w14:paraId="4AA80BD9" w14:textId="77777777" w:rsidTr="14554135">
        <w:trPr>
          <w:trHeight w:val="460"/>
        </w:trPr>
        <w:tc>
          <w:tcPr>
            <w:tcW w:w="9360" w:type="dxa"/>
            <w:shd w:val="clear" w:color="auto" w:fill="F2F2F2" w:themeFill="background1" w:themeFillShade="F2"/>
          </w:tcPr>
          <w:p w14:paraId="25FBDF08" w14:textId="5E5D72EC" w:rsidR="00A636C3" w:rsidRPr="00BA5FB9" w:rsidRDefault="00BA5FB9">
            <w:pPr>
              <w:spacing w:line="360" w:lineRule="auto"/>
              <w:jc w:val="both"/>
              <w:rPr>
                <w:rFonts w:asciiTheme="majorHAnsi" w:hAnsiTheme="majorHAnsi" w:cstheme="majorHAnsi"/>
                <w:b/>
                <w:lang w:val="en-US"/>
              </w:rPr>
            </w:pPr>
            <w:r w:rsidRPr="00BA5FB9">
              <w:rPr>
                <w:rFonts w:asciiTheme="majorHAnsi" w:hAnsiTheme="majorHAnsi" w:cstheme="majorHAnsi"/>
                <w:b/>
                <w:lang w:val="en-US"/>
              </w:rPr>
              <w:t>Objectives 1 and 2. To assess the effectiveness and safety of biperiden after traumatic brain injury</w:t>
            </w:r>
          </w:p>
        </w:tc>
      </w:tr>
    </w:tbl>
    <w:p w14:paraId="683DC775" w14:textId="0D6C105F" w:rsidR="14554135" w:rsidRPr="00BA5FB9" w:rsidRDefault="14554135">
      <w:pPr>
        <w:rPr>
          <w:lang w:val="en-US"/>
        </w:rPr>
      </w:pPr>
    </w:p>
    <w:p w14:paraId="799556EA" w14:textId="358A5847" w:rsidR="5E72D7EA" w:rsidRPr="00BA5FB9" w:rsidRDefault="5E72D7EA">
      <w:pPr>
        <w:rPr>
          <w:lang w:val="en-US"/>
        </w:rPr>
      </w:pPr>
    </w:p>
    <w:p w14:paraId="2BDB6AC9" w14:textId="77777777" w:rsidR="00A636C3" w:rsidRPr="00BA5FB9" w:rsidRDefault="00A636C3">
      <w:pPr>
        <w:spacing w:line="360" w:lineRule="auto"/>
        <w:jc w:val="both"/>
        <w:rPr>
          <w:rFonts w:asciiTheme="majorHAnsi" w:hAnsiTheme="majorHAnsi" w:cstheme="majorHAnsi"/>
          <w:b/>
          <w:lang w:val="en-US"/>
        </w:rPr>
      </w:pPr>
    </w:p>
    <w:p w14:paraId="1B9C6A87" w14:textId="420EB595" w:rsidR="00A636C3" w:rsidRPr="00412E44" w:rsidRDefault="00DA6D78">
      <w:pPr>
        <w:spacing w:line="360" w:lineRule="auto"/>
        <w:jc w:val="both"/>
        <w:rPr>
          <w:rFonts w:asciiTheme="majorHAnsi" w:hAnsiTheme="majorHAnsi" w:cstheme="majorHAnsi"/>
          <w:b/>
          <w:lang w:val="pt-BR"/>
        </w:rPr>
      </w:pPr>
      <w:r w:rsidRPr="00412E44">
        <w:rPr>
          <w:rFonts w:asciiTheme="majorHAnsi" w:hAnsiTheme="majorHAnsi" w:cstheme="majorHAnsi"/>
          <w:b/>
          <w:lang w:val="pt-BR"/>
        </w:rPr>
        <w:t>Context</w:t>
      </w:r>
    </w:p>
    <w:p w14:paraId="6DEC63EB" w14:textId="77777777" w:rsidR="00BA5FB9" w:rsidRPr="00BA5FB9" w:rsidRDefault="00BA5FB9" w:rsidP="00BA5FB9">
      <w:pPr>
        <w:spacing w:line="360" w:lineRule="auto"/>
        <w:ind w:firstLine="720"/>
        <w:jc w:val="both"/>
        <w:rPr>
          <w:rFonts w:asciiTheme="majorHAnsi" w:hAnsiTheme="majorHAnsi" w:cstheme="majorHAnsi"/>
          <w:lang w:val="en-US"/>
        </w:rPr>
      </w:pPr>
      <w:r w:rsidRPr="00BA5FB9">
        <w:rPr>
          <w:rFonts w:asciiTheme="majorHAnsi" w:hAnsiTheme="majorHAnsi" w:cstheme="majorHAnsi"/>
          <w:lang w:val="en-US"/>
        </w:rPr>
        <w:t>Randomized controlled trials are considered the most appropriate and reliable primary epidemiological studies to evaluate health treatment or prevention interventions [Howick 2011]. This confidence is mainly due to the characteristics of these studies that aim to minimize the risk of bias. Thus, this was the study design chosen to answer the question of interest to the project and which can be structured, using the acronym PICO, as follows:</w:t>
      </w:r>
    </w:p>
    <w:p w14:paraId="20C21985" w14:textId="77777777" w:rsidR="00BA5FB9" w:rsidRPr="00BA5FB9" w:rsidRDefault="00BA5FB9" w:rsidP="00BA5FB9">
      <w:pPr>
        <w:spacing w:line="360" w:lineRule="auto"/>
        <w:jc w:val="both"/>
        <w:rPr>
          <w:rFonts w:asciiTheme="majorHAnsi" w:hAnsiTheme="majorHAnsi" w:cstheme="majorHAnsi"/>
          <w:lang w:val="en-US"/>
        </w:rPr>
      </w:pPr>
      <w:r w:rsidRPr="00BA5FB9">
        <w:rPr>
          <w:rFonts w:asciiTheme="majorHAnsi" w:hAnsiTheme="majorHAnsi" w:cstheme="majorHAnsi"/>
          <w:lang w:val="en-US"/>
        </w:rPr>
        <w:t>P (population) = subjects with moderate to severe acute TBI, with confirmed intraparenchymal hemorrhage.</w:t>
      </w:r>
    </w:p>
    <w:p w14:paraId="5159D390" w14:textId="77777777" w:rsidR="00BA5FB9" w:rsidRPr="00BA5FB9" w:rsidRDefault="00BA5FB9" w:rsidP="00BA5FB9">
      <w:pPr>
        <w:spacing w:line="360" w:lineRule="auto"/>
        <w:jc w:val="both"/>
        <w:rPr>
          <w:rFonts w:asciiTheme="majorHAnsi" w:hAnsiTheme="majorHAnsi" w:cstheme="majorHAnsi"/>
          <w:lang w:val="en-US"/>
        </w:rPr>
      </w:pPr>
      <w:r w:rsidRPr="00BA5FB9">
        <w:rPr>
          <w:rFonts w:asciiTheme="majorHAnsi" w:hAnsiTheme="majorHAnsi" w:cstheme="majorHAnsi"/>
          <w:lang w:val="en-US"/>
        </w:rPr>
        <w:t>I (intervention) = biperiden</w:t>
      </w:r>
    </w:p>
    <w:p w14:paraId="7E1629C1" w14:textId="77777777" w:rsidR="00BA5FB9" w:rsidRPr="00BA5FB9" w:rsidRDefault="00BA5FB9" w:rsidP="00BA5FB9">
      <w:pPr>
        <w:spacing w:line="360" w:lineRule="auto"/>
        <w:jc w:val="both"/>
        <w:rPr>
          <w:rFonts w:asciiTheme="majorHAnsi" w:hAnsiTheme="majorHAnsi" w:cstheme="majorHAnsi"/>
          <w:lang w:val="en-US"/>
        </w:rPr>
      </w:pPr>
      <w:r w:rsidRPr="00BA5FB9">
        <w:rPr>
          <w:rFonts w:asciiTheme="majorHAnsi" w:hAnsiTheme="majorHAnsi" w:cstheme="majorHAnsi"/>
          <w:lang w:val="en-US"/>
        </w:rPr>
        <w:lastRenderedPageBreak/>
        <w:t>C (comparator) = placebo</w:t>
      </w:r>
    </w:p>
    <w:p w14:paraId="568E260F" w14:textId="334CC747" w:rsidR="00A636C3" w:rsidRPr="00BA5FB9" w:rsidRDefault="00BA5FB9" w:rsidP="00BA5FB9">
      <w:pPr>
        <w:spacing w:line="360" w:lineRule="auto"/>
        <w:jc w:val="both"/>
        <w:rPr>
          <w:rFonts w:asciiTheme="majorHAnsi" w:hAnsiTheme="majorHAnsi" w:cstheme="majorHAnsi"/>
          <w:lang w:val="en-US"/>
        </w:rPr>
      </w:pPr>
      <w:r w:rsidRPr="00BA5FB9">
        <w:rPr>
          <w:rFonts w:asciiTheme="majorHAnsi" w:hAnsiTheme="majorHAnsi" w:cstheme="majorHAnsi"/>
          <w:lang w:val="en-US"/>
        </w:rPr>
        <w:t>O (outcomes) = effectiveness and safety outcomes (detailed below)</w:t>
      </w:r>
    </w:p>
    <w:p w14:paraId="2656E438" w14:textId="77777777" w:rsidR="00A636C3" w:rsidRPr="00BA5FB9" w:rsidRDefault="00A636C3">
      <w:pPr>
        <w:spacing w:line="360" w:lineRule="auto"/>
        <w:jc w:val="both"/>
        <w:rPr>
          <w:rFonts w:asciiTheme="majorHAnsi" w:hAnsiTheme="majorHAnsi" w:cstheme="majorHAnsi"/>
          <w:b/>
          <w:lang w:val="en-US"/>
        </w:rPr>
      </w:pPr>
    </w:p>
    <w:p w14:paraId="6E7DF8DB" w14:textId="16359483" w:rsidR="00A636C3" w:rsidRPr="002A5E4B" w:rsidRDefault="00BA5FB9">
      <w:pPr>
        <w:spacing w:line="360" w:lineRule="auto"/>
        <w:jc w:val="both"/>
        <w:rPr>
          <w:rFonts w:asciiTheme="majorHAnsi" w:hAnsiTheme="majorHAnsi" w:cstheme="majorHAnsi"/>
          <w:b/>
          <w:lang w:val="en-US"/>
        </w:rPr>
      </w:pPr>
      <w:r w:rsidRPr="002A5E4B">
        <w:rPr>
          <w:rFonts w:asciiTheme="majorHAnsi" w:hAnsiTheme="majorHAnsi" w:cstheme="majorHAnsi"/>
          <w:b/>
          <w:lang w:val="en-US"/>
        </w:rPr>
        <w:t>Design</w:t>
      </w:r>
    </w:p>
    <w:p w14:paraId="056AD427" w14:textId="77777777" w:rsidR="002A5E4B" w:rsidRPr="002A5E4B" w:rsidRDefault="002A5E4B" w:rsidP="002A5E4B">
      <w:pPr>
        <w:spacing w:line="360" w:lineRule="auto"/>
        <w:ind w:firstLine="720"/>
        <w:jc w:val="both"/>
        <w:rPr>
          <w:rFonts w:asciiTheme="majorHAnsi" w:hAnsiTheme="majorHAnsi" w:cstheme="majorHAnsi"/>
          <w:lang w:val="en-US"/>
        </w:rPr>
      </w:pPr>
      <w:r w:rsidRPr="002A5E4B">
        <w:rPr>
          <w:rFonts w:asciiTheme="majorHAnsi" w:hAnsiTheme="majorHAnsi" w:cstheme="majorHAnsi"/>
          <w:lang w:val="en-US"/>
        </w:rPr>
        <w:t>Multicenter, double-blind, placebo-controlled, randomized clinical trial, classified as a phase 3 clinical trial.</w:t>
      </w:r>
    </w:p>
    <w:p w14:paraId="6E599722" w14:textId="77777777" w:rsidR="002A5E4B" w:rsidRPr="002A5E4B" w:rsidRDefault="002A5E4B" w:rsidP="002A5E4B">
      <w:pPr>
        <w:spacing w:line="360" w:lineRule="auto"/>
        <w:ind w:firstLine="720"/>
        <w:jc w:val="both"/>
        <w:rPr>
          <w:rFonts w:asciiTheme="majorHAnsi" w:hAnsiTheme="majorHAnsi" w:cstheme="majorHAnsi"/>
          <w:lang w:val="en-US"/>
        </w:rPr>
      </w:pPr>
      <w:r w:rsidRPr="002A5E4B">
        <w:rPr>
          <w:rFonts w:asciiTheme="majorHAnsi" w:hAnsiTheme="majorHAnsi" w:cstheme="majorHAnsi"/>
          <w:lang w:val="en-US"/>
        </w:rPr>
        <w:t>Study design will follow the recommendations of the Consolidated Standards of Reporting Trials (CONSORT Statement) [Schulz 2010], which despite being developed to guide reporting or publication, has also been widely used to guide the design of a randomized clinical trial. .</w:t>
      </w:r>
    </w:p>
    <w:p w14:paraId="7E07F1AD" w14:textId="77777777" w:rsidR="002A5E4B" w:rsidRPr="002A5E4B" w:rsidRDefault="002A5E4B" w:rsidP="002A5E4B">
      <w:pPr>
        <w:spacing w:line="360" w:lineRule="auto"/>
        <w:ind w:firstLine="720"/>
        <w:jc w:val="both"/>
        <w:rPr>
          <w:rFonts w:asciiTheme="majorHAnsi" w:hAnsiTheme="majorHAnsi" w:cstheme="majorHAnsi"/>
          <w:lang w:val="en-US"/>
        </w:rPr>
      </w:pPr>
      <w:r w:rsidRPr="002A5E4B">
        <w:rPr>
          <w:rFonts w:asciiTheme="majorHAnsi" w:hAnsiTheme="majorHAnsi" w:cstheme="majorHAnsi"/>
          <w:lang w:val="en-US"/>
        </w:rPr>
        <w:t xml:space="preserve">The study will be planned and developed with due rigor </w:t>
      </w:r>
      <w:proofErr w:type="gramStart"/>
      <w:r w:rsidRPr="002A5E4B">
        <w:rPr>
          <w:rFonts w:asciiTheme="majorHAnsi" w:hAnsiTheme="majorHAnsi" w:cstheme="majorHAnsi"/>
          <w:lang w:val="en-US"/>
        </w:rPr>
        <w:t>in order to</w:t>
      </w:r>
      <w:proofErr w:type="gramEnd"/>
      <w:r w:rsidRPr="002A5E4B">
        <w:rPr>
          <w:rFonts w:asciiTheme="majorHAnsi" w:hAnsiTheme="majorHAnsi" w:cstheme="majorHAnsi"/>
          <w:lang w:val="en-US"/>
        </w:rPr>
        <w:t xml:space="preserve"> minimize the occurrence of the biases cataloged in the literature so far [de Vito 2019].</w:t>
      </w:r>
    </w:p>
    <w:p w14:paraId="5FA16207" w14:textId="60FA05EA" w:rsidR="00A636C3" w:rsidRDefault="002A5E4B" w:rsidP="002A5E4B">
      <w:pPr>
        <w:spacing w:line="360" w:lineRule="auto"/>
        <w:ind w:firstLine="720"/>
        <w:jc w:val="both"/>
        <w:rPr>
          <w:rFonts w:asciiTheme="majorHAnsi" w:hAnsiTheme="majorHAnsi" w:cstheme="majorHAnsi"/>
          <w:lang w:val="en-US"/>
        </w:rPr>
      </w:pPr>
      <w:r w:rsidRPr="002A5E4B">
        <w:rPr>
          <w:rFonts w:asciiTheme="majorHAnsi" w:hAnsiTheme="majorHAnsi" w:cstheme="majorHAnsi"/>
          <w:lang w:val="en-US"/>
        </w:rPr>
        <w:t>Reporting of study results will follow the Consolidated Standards of Reporting Trials (CONSORT Statement) [Schulz 2010].</w:t>
      </w:r>
    </w:p>
    <w:p w14:paraId="72C1CBF4" w14:textId="77777777" w:rsidR="002A5E4B" w:rsidRPr="002A5E4B" w:rsidRDefault="002A5E4B" w:rsidP="002A5E4B">
      <w:pPr>
        <w:spacing w:line="360" w:lineRule="auto"/>
        <w:ind w:firstLine="720"/>
        <w:jc w:val="both"/>
        <w:rPr>
          <w:rFonts w:asciiTheme="majorHAnsi" w:hAnsiTheme="majorHAnsi" w:cstheme="majorHAnsi"/>
          <w:b/>
          <w:lang w:val="en-US"/>
        </w:rPr>
      </w:pPr>
    </w:p>
    <w:p w14:paraId="4D3A9AD5" w14:textId="77777777" w:rsidR="00A636C3" w:rsidRPr="00412E44" w:rsidRDefault="00DA6D78">
      <w:pPr>
        <w:spacing w:line="360" w:lineRule="auto"/>
        <w:jc w:val="both"/>
        <w:rPr>
          <w:rFonts w:asciiTheme="majorHAnsi" w:hAnsiTheme="majorHAnsi" w:cstheme="majorHAnsi"/>
          <w:lang w:val="pt-BR"/>
        </w:rPr>
      </w:pPr>
      <w:r w:rsidRPr="00412E44">
        <w:rPr>
          <w:rFonts w:asciiTheme="majorHAnsi" w:hAnsiTheme="majorHAnsi" w:cstheme="majorHAnsi"/>
          <w:b/>
          <w:lang w:val="pt-BR"/>
        </w:rPr>
        <w:t>Local</w:t>
      </w:r>
    </w:p>
    <w:p w14:paraId="4364EEE9" w14:textId="77777777" w:rsidR="002A5E4B" w:rsidRPr="002A5E4B" w:rsidRDefault="002A5E4B" w:rsidP="002A5E4B">
      <w:pPr>
        <w:spacing w:line="360" w:lineRule="auto"/>
        <w:ind w:firstLine="720"/>
        <w:jc w:val="both"/>
        <w:rPr>
          <w:rFonts w:asciiTheme="majorHAnsi" w:hAnsiTheme="majorHAnsi" w:cstheme="majorHAnsi"/>
          <w:lang w:val="en-US"/>
        </w:rPr>
      </w:pPr>
      <w:r w:rsidRPr="002A5E4B">
        <w:rPr>
          <w:rFonts w:asciiTheme="majorHAnsi" w:hAnsiTheme="majorHAnsi" w:cstheme="majorHAnsi"/>
          <w:lang w:val="en-US"/>
        </w:rPr>
        <w:t xml:space="preserve">The study will be planned at Hospital </w:t>
      </w:r>
      <w:proofErr w:type="spellStart"/>
      <w:r w:rsidRPr="002A5E4B">
        <w:rPr>
          <w:rFonts w:asciiTheme="majorHAnsi" w:hAnsiTheme="majorHAnsi" w:cstheme="majorHAnsi"/>
          <w:lang w:val="en-US"/>
        </w:rPr>
        <w:t>Sírio-Libanês</w:t>
      </w:r>
      <w:proofErr w:type="spellEnd"/>
      <w:r w:rsidRPr="002A5E4B">
        <w:rPr>
          <w:rFonts w:asciiTheme="majorHAnsi" w:hAnsiTheme="majorHAnsi" w:cstheme="majorHAnsi"/>
          <w:lang w:val="en-US"/>
        </w:rPr>
        <w:t xml:space="preserve"> and carried out in several hospitals, according to the local availability of resources necessary for the implementation of the research protocol and interest in participation. Participating centers must have access to the following structures and resources:</w:t>
      </w:r>
    </w:p>
    <w:p w14:paraId="0DC987BE"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TBI patient care </w:t>
      </w:r>
      <w:proofErr w:type="gramStart"/>
      <w:r w:rsidRPr="002A5E4B">
        <w:rPr>
          <w:rFonts w:asciiTheme="majorHAnsi" w:hAnsiTheme="majorHAnsi" w:cstheme="majorHAnsi"/>
          <w:lang w:val="en-US"/>
        </w:rPr>
        <w:t>unit;</w:t>
      </w:r>
      <w:proofErr w:type="gramEnd"/>
    </w:p>
    <w:p w14:paraId="07694DAF"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Diagnostic imaging unit with availability of tomography or resonance 24 hours a </w:t>
      </w:r>
      <w:proofErr w:type="gramStart"/>
      <w:r w:rsidRPr="002A5E4B">
        <w:rPr>
          <w:rFonts w:asciiTheme="majorHAnsi" w:hAnsiTheme="majorHAnsi" w:cstheme="majorHAnsi"/>
          <w:lang w:val="en-US"/>
        </w:rPr>
        <w:t>day;</w:t>
      </w:r>
      <w:proofErr w:type="gramEnd"/>
    </w:p>
    <w:p w14:paraId="6DD5D4E4"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Electroencephalogram service</w:t>
      </w:r>
    </w:p>
    <w:p w14:paraId="2FA69DB2" w14:textId="5893C41A" w:rsidR="00A636C3"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Ability to perform neuropsychological assessment.</w:t>
      </w:r>
    </w:p>
    <w:p w14:paraId="37D7075E" w14:textId="77777777" w:rsidR="002A5E4B" w:rsidRPr="002A5E4B" w:rsidRDefault="002A5E4B" w:rsidP="002A5E4B">
      <w:pPr>
        <w:spacing w:line="360" w:lineRule="auto"/>
        <w:ind w:left="720"/>
        <w:jc w:val="both"/>
        <w:rPr>
          <w:rFonts w:asciiTheme="majorHAnsi" w:hAnsiTheme="majorHAnsi" w:cstheme="majorHAnsi"/>
          <w:lang w:val="en-US"/>
        </w:rPr>
      </w:pPr>
    </w:p>
    <w:p w14:paraId="4C879345" w14:textId="4F426688" w:rsidR="0036255E" w:rsidRDefault="00DA6D78" w:rsidP="0036255E">
      <w:pPr>
        <w:spacing w:line="360" w:lineRule="auto"/>
        <w:ind w:firstLine="720"/>
        <w:jc w:val="both"/>
        <w:rPr>
          <w:rFonts w:asciiTheme="majorHAnsi" w:hAnsiTheme="majorHAnsi" w:cstheme="majorHAnsi"/>
          <w:lang w:val="en-US"/>
        </w:rPr>
      </w:pPr>
      <w:r w:rsidRPr="002A5E4B">
        <w:rPr>
          <w:rFonts w:asciiTheme="majorHAnsi" w:hAnsiTheme="majorHAnsi" w:cstheme="majorHAnsi"/>
          <w:lang w:val="en-US"/>
        </w:rPr>
        <w:t xml:space="preserve"> </w:t>
      </w:r>
      <w:proofErr w:type="gramStart"/>
      <w:r w:rsidR="002A5E4B" w:rsidRPr="002A5E4B">
        <w:rPr>
          <w:rFonts w:asciiTheme="majorHAnsi" w:hAnsiTheme="majorHAnsi" w:cstheme="majorHAnsi"/>
          <w:lang w:val="en-US"/>
        </w:rPr>
        <w:t>During the course of</w:t>
      </w:r>
      <w:proofErr w:type="gramEnd"/>
      <w:r w:rsidR="002A5E4B" w:rsidRPr="002A5E4B">
        <w:rPr>
          <w:rFonts w:asciiTheme="majorHAnsi" w:hAnsiTheme="majorHAnsi" w:cstheme="majorHAnsi"/>
          <w:lang w:val="en-US"/>
        </w:rPr>
        <w:t xml:space="preserve"> the study, if there is a need to recruit more patients, new centers may be included. To ensure that participating sites can carry out the study, a questionnaire to assess their ability to conduct the study (feasibility questionnaire) must be completed by the research team at each site.</w:t>
      </w:r>
    </w:p>
    <w:p w14:paraId="416450E3" w14:textId="77777777" w:rsidR="002A5E4B" w:rsidRPr="002A5E4B" w:rsidRDefault="002A5E4B" w:rsidP="0036255E">
      <w:pPr>
        <w:spacing w:line="360" w:lineRule="auto"/>
        <w:ind w:firstLine="720"/>
        <w:jc w:val="both"/>
        <w:rPr>
          <w:rFonts w:asciiTheme="majorHAnsi" w:hAnsiTheme="majorHAnsi" w:cstheme="majorHAnsi"/>
          <w:lang w:val="en-US"/>
        </w:rPr>
      </w:pPr>
    </w:p>
    <w:p w14:paraId="6B09B1C0" w14:textId="27EB0CD2" w:rsidR="00A636C3" w:rsidRPr="00412E44" w:rsidRDefault="002A5E4B">
      <w:pPr>
        <w:spacing w:line="360" w:lineRule="auto"/>
        <w:jc w:val="both"/>
        <w:rPr>
          <w:rFonts w:asciiTheme="majorHAnsi" w:hAnsiTheme="majorHAnsi" w:cstheme="majorHAnsi"/>
          <w:b/>
          <w:lang w:val="pt-BR"/>
        </w:rPr>
      </w:pPr>
      <w:r w:rsidRPr="002A5E4B">
        <w:rPr>
          <w:rFonts w:asciiTheme="majorHAnsi" w:hAnsiTheme="majorHAnsi" w:cstheme="majorHAnsi"/>
          <w:b/>
          <w:lang w:val="pt-BR"/>
        </w:rPr>
        <w:t>Ethical and registration aspects</w:t>
      </w:r>
    </w:p>
    <w:p w14:paraId="38F315A6" w14:textId="77777777" w:rsidR="002A5E4B" w:rsidRPr="002A5E4B" w:rsidRDefault="002A5E4B" w:rsidP="002A5E4B">
      <w:pPr>
        <w:spacing w:line="360" w:lineRule="auto"/>
        <w:ind w:firstLine="720"/>
        <w:jc w:val="both"/>
        <w:rPr>
          <w:rFonts w:asciiTheme="majorHAnsi" w:hAnsiTheme="majorHAnsi" w:cstheme="majorHAnsi"/>
        </w:rPr>
      </w:pPr>
      <w:r w:rsidRPr="002A5E4B">
        <w:rPr>
          <w:rFonts w:asciiTheme="majorHAnsi" w:hAnsiTheme="majorHAnsi" w:cstheme="majorHAnsi"/>
          <w:lang w:val="en-US"/>
        </w:rPr>
        <w:t>Protocol planning and study execution will follow the following recommendations and guidelines for health intervention studies:</w:t>
      </w:r>
    </w:p>
    <w:p w14:paraId="06709F81"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Declaration of Helsinki [World Medical Association 2008</w:t>
      </w:r>
      <w:proofErr w:type="gramStart"/>
      <w:r w:rsidRPr="002A5E4B">
        <w:rPr>
          <w:rFonts w:asciiTheme="majorHAnsi" w:hAnsiTheme="majorHAnsi" w:cstheme="majorHAnsi"/>
          <w:lang w:val="en-US"/>
        </w:rPr>
        <w:t>];</w:t>
      </w:r>
      <w:proofErr w:type="gramEnd"/>
    </w:p>
    <w:p w14:paraId="29A3C7BF"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Good Clinical Practices [Imperial College 2007]</w:t>
      </w:r>
    </w:p>
    <w:p w14:paraId="0B32A07D"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lastRenderedPageBreak/>
        <w:t xml:space="preserve">● International Conference for Harmonization </w:t>
      </w:r>
      <w:proofErr w:type="gramStart"/>
      <w:r w:rsidRPr="002A5E4B">
        <w:rPr>
          <w:rFonts w:asciiTheme="majorHAnsi" w:hAnsiTheme="majorHAnsi" w:cstheme="majorHAnsi"/>
          <w:lang w:val="en-US"/>
        </w:rPr>
        <w:t>Of</w:t>
      </w:r>
      <w:proofErr w:type="gramEnd"/>
      <w:r w:rsidRPr="002A5E4B">
        <w:rPr>
          <w:rFonts w:asciiTheme="majorHAnsi" w:hAnsiTheme="majorHAnsi" w:cstheme="majorHAnsi"/>
          <w:lang w:val="en-US"/>
        </w:rPr>
        <w:t xml:space="preserve"> Technical Requirements for Registration of Pharmaceuticals for Human Use (ICH 6) [EMA 2002]</w:t>
      </w:r>
    </w:p>
    <w:p w14:paraId="111F116B" w14:textId="2BA22291" w:rsidR="00A636C3"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Resolution 466/12 of the National Research Ethics Commission (CONEP) [CONEP 2012].</w:t>
      </w:r>
    </w:p>
    <w:p w14:paraId="0614F004" w14:textId="77777777" w:rsidR="002A5E4B" w:rsidRPr="002A5E4B" w:rsidRDefault="002A5E4B" w:rsidP="002A5E4B">
      <w:pPr>
        <w:spacing w:line="360" w:lineRule="auto"/>
        <w:ind w:left="720"/>
        <w:jc w:val="both"/>
        <w:rPr>
          <w:rFonts w:asciiTheme="majorHAnsi" w:hAnsiTheme="majorHAnsi" w:cstheme="majorHAnsi"/>
          <w:lang w:val="en-US"/>
        </w:rPr>
      </w:pPr>
    </w:p>
    <w:p w14:paraId="7113C80D" w14:textId="77777777" w:rsidR="002A5E4B" w:rsidRPr="002A5E4B" w:rsidRDefault="002A5E4B" w:rsidP="002A5E4B">
      <w:pPr>
        <w:spacing w:line="360" w:lineRule="auto"/>
        <w:jc w:val="both"/>
        <w:rPr>
          <w:rFonts w:asciiTheme="majorHAnsi" w:hAnsiTheme="majorHAnsi" w:cstheme="majorHAnsi"/>
          <w:lang w:val="en-US"/>
        </w:rPr>
      </w:pPr>
      <w:r w:rsidRPr="002A5E4B">
        <w:rPr>
          <w:rFonts w:asciiTheme="majorHAnsi" w:hAnsiTheme="majorHAnsi" w:cstheme="majorHAnsi"/>
          <w:lang w:val="en-US"/>
        </w:rPr>
        <w:t xml:space="preserve">The study protocol was registered in the ClinicalTrials.gov clinical trial registry database (NCT04945213), after approval by the Research Ethics Committee (CEP) of Hospital </w:t>
      </w:r>
      <w:proofErr w:type="spellStart"/>
      <w:r w:rsidRPr="002A5E4B">
        <w:rPr>
          <w:rFonts w:asciiTheme="majorHAnsi" w:hAnsiTheme="majorHAnsi" w:cstheme="majorHAnsi"/>
          <w:lang w:val="en-US"/>
        </w:rPr>
        <w:t>Sírio-Libanês</w:t>
      </w:r>
      <w:proofErr w:type="spellEnd"/>
      <w:r w:rsidRPr="002A5E4B">
        <w:rPr>
          <w:rFonts w:asciiTheme="majorHAnsi" w:hAnsiTheme="majorHAnsi" w:cstheme="majorHAnsi"/>
          <w:lang w:val="en-US"/>
        </w:rPr>
        <w:t xml:space="preserve"> and corroboration of approval by the CEP of each of the participating hospitals.</w:t>
      </w:r>
    </w:p>
    <w:p w14:paraId="1EEEA112" w14:textId="77777777" w:rsidR="002A5E4B" w:rsidRPr="002A5E4B" w:rsidRDefault="002A5E4B" w:rsidP="002A5E4B">
      <w:pPr>
        <w:spacing w:line="360" w:lineRule="auto"/>
        <w:jc w:val="both"/>
        <w:rPr>
          <w:rFonts w:asciiTheme="majorHAnsi" w:hAnsiTheme="majorHAnsi" w:cstheme="majorHAnsi"/>
          <w:lang w:val="en-US"/>
        </w:rPr>
      </w:pPr>
      <w:proofErr w:type="gramStart"/>
      <w:r w:rsidRPr="002A5E4B">
        <w:rPr>
          <w:rFonts w:asciiTheme="majorHAnsi" w:hAnsiTheme="majorHAnsi" w:cstheme="majorHAnsi"/>
          <w:lang w:val="en-US"/>
        </w:rPr>
        <w:t>Considering the nature of the brain injury and the study inclusion criteria for the presence of lowered consciousness, there</w:t>
      </w:r>
      <w:proofErr w:type="gramEnd"/>
      <w:r w:rsidRPr="002A5E4B">
        <w:rPr>
          <w:rFonts w:asciiTheme="majorHAnsi" w:hAnsiTheme="majorHAnsi" w:cstheme="majorHAnsi"/>
          <w:lang w:val="en-US"/>
        </w:rPr>
        <w:t xml:space="preserve"> is a possibility that patients will not be able to provide consent to participate in the study and therefore written informed consent will be obtained. of legally authorized representatives.</w:t>
      </w:r>
    </w:p>
    <w:p w14:paraId="43A5FD3D" w14:textId="77777777" w:rsidR="002A5E4B" w:rsidRPr="002A5E4B" w:rsidRDefault="002A5E4B" w:rsidP="002A5E4B">
      <w:pPr>
        <w:spacing w:line="360" w:lineRule="auto"/>
        <w:jc w:val="both"/>
        <w:rPr>
          <w:rFonts w:asciiTheme="majorHAnsi" w:hAnsiTheme="majorHAnsi" w:cstheme="majorHAnsi"/>
          <w:lang w:val="en-US"/>
        </w:rPr>
      </w:pPr>
      <w:r w:rsidRPr="002A5E4B">
        <w:rPr>
          <w:rFonts w:asciiTheme="majorHAnsi" w:hAnsiTheme="majorHAnsi" w:cstheme="majorHAnsi"/>
          <w:lang w:val="en-US"/>
        </w:rPr>
        <w:t xml:space="preserve">Considering also that the need for consent for the administration of the first doses would imply a delay in the initial doses and the impossibility of including the participant, the local CEP of Hospital </w:t>
      </w:r>
      <w:proofErr w:type="spellStart"/>
      <w:r w:rsidRPr="002A5E4B">
        <w:rPr>
          <w:rFonts w:asciiTheme="majorHAnsi" w:hAnsiTheme="majorHAnsi" w:cstheme="majorHAnsi"/>
          <w:lang w:val="en-US"/>
        </w:rPr>
        <w:t>Sírio-Libanês</w:t>
      </w:r>
      <w:proofErr w:type="spellEnd"/>
      <w:r w:rsidRPr="002A5E4B">
        <w:rPr>
          <w:rFonts w:asciiTheme="majorHAnsi" w:hAnsiTheme="majorHAnsi" w:cstheme="majorHAnsi"/>
          <w:lang w:val="en-US"/>
        </w:rPr>
        <w:t xml:space="preserve"> (coordinating center) was consulted and approved this protocol, where unconscious and unaccompanied patients of a guardian can still receive doses of the drug within the first 48 hours, before consent is given by their guardian. In these cases, subsequent doses should only be applied after consent from the patient, if he/she is considered fit, or from his/her guardian.</w:t>
      </w:r>
    </w:p>
    <w:p w14:paraId="51F0F4DC" w14:textId="77777777" w:rsidR="002A5E4B" w:rsidRPr="002A5E4B" w:rsidRDefault="002A5E4B" w:rsidP="002A5E4B">
      <w:pPr>
        <w:spacing w:line="360" w:lineRule="auto"/>
        <w:jc w:val="both"/>
        <w:rPr>
          <w:rFonts w:asciiTheme="majorHAnsi" w:hAnsiTheme="majorHAnsi" w:cstheme="majorHAnsi"/>
          <w:lang w:val="en-US"/>
        </w:rPr>
      </w:pPr>
      <w:r w:rsidRPr="002A5E4B">
        <w:rPr>
          <w:rFonts w:asciiTheme="majorHAnsi" w:hAnsiTheme="majorHAnsi" w:cstheme="majorHAnsi"/>
          <w:lang w:val="en-US"/>
        </w:rPr>
        <w:t>If the possibility described above is not feasible for the local CEPs of each participating center, individuals who meet the eligibility criteria, but for whom it is not possible to obtain consent to participate (by the authorized legal guardian, if the level of awareness), will not be included in the study.</w:t>
      </w:r>
    </w:p>
    <w:p w14:paraId="07B08585" w14:textId="106771A6" w:rsidR="00220ABB" w:rsidRDefault="002A5E4B" w:rsidP="002A5E4B">
      <w:pPr>
        <w:spacing w:line="360" w:lineRule="auto"/>
        <w:jc w:val="both"/>
        <w:rPr>
          <w:rFonts w:asciiTheme="majorHAnsi" w:hAnsiTheme="majorHAnsi" w:cstheme="majorHAnsi"/>
          <w:lang w:val="en-US"/>
        </w:rPr>
      </w:pPr>
      <w:r w:rsidRPr="002A5E4B">
        <w:rPr>
          <w:rFonts w:asciiTheme="majorHAnsi" w:hAnsiTheme="majorHAnsi" w:cstheme="majorHAnsi"/>
          <w:lang w:val="en-US"/>
        </w:rPr>
        <w:t>It should be noted that biperiden is widely used for other indications, being considered a safe treatment, with a low frequency of adverse events associated with its use.</w:t>
      </w:r>
    </w:p>
    <w:p w14:paraId="6B7FB41C" w14:textId="77777777" w:rsidR="002A5E4B" w:rsidRPr="002A5E4B" w:rsidRDefault="002A5E4B" w:rsidP="002A5E4B">
      <w:pPr>
        <w:spacing w:line="360" w:lineRule="auto"/>
        <w:jc w:val="both"/>
        <w:rPr>
          <w:rFonts w:asciiTheme="majorHAnsi" w:hAnsiTheme="majorHAnsi" w:cstheme="majorHAnsi"/>
          <w:lang w:val="en-US"/>
        </w:rPr>
      </w:pPr>
    </w:p>
    <w:p w14:paraId="369A27B9" w14:textId="5D0873D2" w:rsidR="00A636C3" w:rsidRPr="002A5E4B" w:rsidRDefault="00DA6D78">
      <w:pPr>
        <w:spacing w:line="360" w:lineRule="auto"/>
        <w:jc w:val="both"/>
        <w:rPr>
          <w:rFonts w:asciiTheme="majorHAnsi" w:hAnsiTheme="majorHAnsi" w:cstheme="majorHAnsi"/>
          <w:b/>
          <w:lang w:val="en-US"/>
        </w:rPr>
      </w:pPr>
      <w:r w:rsidRPr="002A5E4B">
        <w:rPr>
          <w:rFonts w:asciiTheme="majorHAnsi" w:hAnsiTheme="majorHAnsi" w:cstheme="majorHAnsi"/>
          <w:b/>
          <w:lang w:val="en-US"/>
        </w:rPr>
        <w:t>Participant</w:t>
      </w:r>
      <w:r w:rsidR="002A5E4B" w:rsidRPr="002A5E4B">
        <w:rPr>
          <w:rFonts w:asciiTheme="majorHAnsi" w:hAnsiTheme="majorHAnsi" w:cstheme="majorHAnsi"/>
          <w:b/>
          <w:lang w:val="en-US"/>
        </w:rPr>
        <w:t>s</w:t>
      </w:r>
    </w:p>
    <w:p w14:paraId="52F2AC83" w14:textId="77777777" w:rsidR="00A636C3" w:rsidRPr="002A5E4B" w:rsidRDefault="00A636C3">
      <w:pPr>
        <w:spacing w:line="360" w:lineRule="auto"/>
        <w:jc w:val="both"/>
        <w:rPr>
          <w:rFonts w:asciiTheme="majorHAnsi" w:hAnsiTheme="majorHAnsi" w:cstheme="majorHAnsi"/>
          <w:i/>
          <w:lang w:val="en-US"/>
        </w:rPr>
      </w:pPr>
    </w:p>
    <w:p w14:paraId="0098403B" w14:textId="40CAFB07" w:rsidR="002A5E4B" w:rsidRPr="002A5E4B" w:rsidRDefault="002A5E4B" w:rsidP="002A5E4B">
      <w:pPr>
        <w:spacing w:line="360" w:lineRule="auto"/>
        <w:jc w:val="both"/>
        <w:rPr>
          <w:rFonts w:asciiTheme="majorHAnsi" w:hAnsiTheme="majorHAnsi" w:cstheme="majorHAnsi"/>
          <w:i/>
          <w:lang w:val="en-US"/>
        </w:rPr>
      </w:pPr>
      <w:r w:rsidRPr="002A5E4B">
        <w:rPr>
          <w:rFonts w:asciiTheme="majorHAnsi" w:hAnsiTheme="majorHAnsi" w:cstheme="majorHAnsi"/>
          <w:i/>
          <w:lang w:val="en-US"/>
        </w:rPr>
        <w:t>Selection methods</w:t>
      </w:r>
    </w:p>
    <w:p w14:paraId="5B736E26" w14:textId="28AB590E" w:rsidR="00A636C3" w:rsidRPr="002A5E4B" w:rsidRDefault="002A5E4B" w:rsidP="002A5E4B">
      <w:pPr>
        <w:spacing w:line="360" w:lineRule="auto"/>
        <w:ind w:firstLine="720"/>
        <w:jc w:val="both"/>
        <w:rPr>
          <w:rFonts w:asciiTheme="majorHAnsi" w:hAnsiTheme="majorHAnsi" w:cstheme="majorHAnsi"/>
          <w:lang w:val="en-US"/>
        </w:rPr>
      </w:pPr>
      <w:r w:rsidRPr="002A5E4B">
        <w:rPr>
          <w:rFonts w:asciiTheme="majorHAnsi" w:hAnsiTheme="majorHAnsi" w:cstheme="majorHAnsi"/>
          <w:lang w:val="en-US"/>
        </w:rPr>
        <w:t>Participants will all be those seen in the emergency department of participating centers for treatment and who meet the eligibility criteria.</w:t>
      </w:r>
    </w:p>
    <w:p w14:paraId="25B0074A" w14:textId="086D3E33" w:rsidR="002A5E4B" w:rsidRPr="002A5E4B" w:rsidRDefault="002A5E4B" w:rsidP="002A5E4B">
      <w:pPr>
        <w:spacing w:line="360" w:lineRule="auto"/>
        <w:jc w:val="both"/>
        <w:rPr>
          <w:rFonts w:asciiTheme="majorHAnsi" w:hAnsiTheme="majorHAnsi" w:cstheme="majorHAnsi"/>
          <w:i/>
        </w:rPr>
      </w:pPr>
      <w:r w:rsidRPr="002A5E4B">
        <w:rPr>
          <w:rFonts w:asciiTheme="majorHAnsi" w:hAnsiTheme="majorHAnsi" w:cstheme="majorHAnsi"/>
          <w:i/>
          <w:lang w:val="en-US"/>
        </w:rPr>
        <w:t>Inclusion criteria</w:t>
      </w:r>
    </w:p>
    <w:p w14:paraId="43718F1F" w14:textId="77777777" w:rsidR="002A5E4B" w:rsidRPr="002A5E4B" w:rsidRDefault="002A5E4B" w:rsidP="002A5E4B">
      <w:pPr>
        <w:spacing w:line="360" w:lineRule="auto"/>
        <w:ind w:left="360"/>
        <w:jc w:val="both"/>
        <w:rPr>
          <w:rFonts w:asciiTheme="majorHAnsi" w:hAnsiTheme="majorHAnsi" w:cstheme="majorHAnsi"/>
          <w:i/>
        </w:rPr>
      </w:pPr>
      <w:r w:rsidRPr="002A5E4B">
        <w:rPr>
          <w:rFonts w:asciiTheme="majorHAnsi" w:hAnsiTheme="majorHAnsi" w:cstheme="majorHAnsi"/>
          <w:i/>
        </w:rPr>
        <w:t xml:space="preserve">● Consent to participate provided by the person responsible, who must sign and date the TCLE after being guided about the study by the principal investigator or responsible, reading and agreeing to the information </w:t>
      </w:r>
      <w:proofErr w:type="gramStart"/>
      <w:r w:rsidRPr="002A5E4B">
        <w:rPr>
          <w:rFonts w:asciiTheme="majorHAnsi" w:hAnsiTheme="majorHAnsi" w:cstheme="majorHAnsi"/>
          <w:i/>
        </w:rPr>
        <w:t>letter;</w:t>
      </w:r>
      <w:proofErr w:type="gramEnd"/>
    </w:p>
    <w:p w14:paraId="768C81FC" w14:textId="77777777" w:rsidR="002A5E4B" w:rsidRPr="002A5E4B" w:rsidRDefault="002A5E4B" w:rsidP="002A5E4B">
      <w:pPr>
        <w:spacing w:line="360" w:lineRule="auto"/>
        <w:ind w:left="360"/>
        <w:jc w:val="both"/>
        <w:rPr>
          <w:rFonts w:asciiTheme="majorHAnsi" w:hAnsiTheme="majorHAnsi" w:cstheme="majorHAnsi"/>
          <w:i/>
        </w:rPr>
      </w:pPr>
      <w:r w:rsidRPr="002A5E4B">
        <w:rPr>
          <w:rFonts w:asciiTheme="majorHAnsi" w:hAnsiTheme="majorHAnsi" w:cstheme="majorHAnsi"/>
          <w:i/>
        </w:rPr>
        <w:t xml:space="preserve">● Age between 18 and 75 years of </w:t>
      </w:r>
      <w:proofErr w:type="gramStart"/>
      <w:r w:rsidRPr="002A5E4B">
        <w:rPr>
          <w:rFonts w:asciiTheme="majorHAnsi" w:hAnsiTheme="majorHAnsi" w:cstheme="majorHAnsi"/>
          <w:i/>
        </w:rPr>
        <w:t>age;</w:t>
      </w:r>
      <w:proofErr w:type="gramEnd"/>
    </w:p>
    <w:p w14:paraId="076385B4" w14:textId="77777777" w:rsidR="002A5E4B" w:rsidRPr="002A5E4B" w:rsidRDefault="002A5E4B" w:rsidP="002A5E4B">
      <w:pPr>
        <w:spacing w:line="360" w:lineRule="auto"/>
        <w:ind w:left="360"/>
        <w:jc w:val="both"/>
        <w:rPr>
          <w:rFonts w:asciiTheme="majorHAnsi" w:hAnsiTheme="majorHAnsi" w:cstheme="majorHAnsi"/>
          <w:i/>
        </w:rPr>
      </w:pPr>
      <w:r w:rsidRPr="002A5E4B">
        <w:rPr>
          <w:rFonts w:asciiTheme="majorHAnsi" w:hAnsiTheme="majorHAnsi" w:cstheme="majorHAnsi"/>
          <w:i/>
        </w:rPr>
        <w:lastRenderedPageBreak/>
        <w:t xml:space="preserve">● Both </w:t>
      </w:r>
      <w:proofErr w:type="gramStart"/>
      <w:r w:rsidRPr="002A5E4B">
        <w:rPr>
          <w:rFonts w:asciiTheme="majorHAnsi" w:hAnsiTheme="majorHAnsi" w:cstheme="majorHAnsi"/>
          <w:i/>
        </w:rPr>
        <w:t>sexes;</w:t>
      </w:r>
      <w:proofErr w:type="gramEnd"/>
    </w:p>
    <w:p w14:paraId="100D0643" w14:textId="77777777" w:rsidR="002A5E4B" w:rsidRPr="002A5E4B" w:rsidRDefault="002A5E4B" w:rsidP="002A5E4B">
      <w:pPr>
        <w:spacing w:line="360" w:lineRule="auto"/>
        <w:ind w:left="360"/>
        <w:jc w:val="both"/>
        <w:rPr>
          <w:rFonts w:asciiTheme="majorHAnsi" w:hAnsiTheme="majorHAnsi" w:cstheme="majorHAnsi"/>
          <w:i/>
        </w:rPr>
      </w:pPr>
      <w:r w:rsidRPr="002A5E4B">
        <w:rPr>
          <w:rFonts w:asciiTheme="majorHAnsi" w:hAnsiTheme="majorHAnsi" w:cstheme="majorHAnsi"/>
          <w:i/>
        </w:rPr>
        <w:t xml:space="preserve">● Diagnosis of moderate to severe acute </w:t>
      </w:r>
      <w:proofErr w:type="gramStart"/>
      <w:r w:rsidRPr="002A5E4B">
        <w:rPr>
          <w:rFonts w:asciiTheme="majorHAnsi" w:hAnsiTheme="majorHAnsi" w:cstheme="majorHAnsi"/>
          <w:i/>
        </w:rPr>
        <w:t>TBI;</w:t>
      </w:r>
      <w:proofErr w:type="gramEnd"/>
    </w:p>
    <w:p w14:paraId="5EB5F0D6" w14:textId="77777777" w:rsidR="002A5E4B" w:rsidRPr="002A5E4B" w:rsidRDefault="002A5E4B" w:rsidP="002A5E4B">
      <w:pPr>
        <w:spacing w:line="360" w:lineRule="auto"/>
        <w:ind w:left="360"/>
        <w:jc w:val="both"/>
        <w:rPr>
          <w:rFonts w:asciiTheme="majorHAnsi" w:hAnsiTheme="majorHAnsi" w:cstheme="majorHAnsi"/>
          <w:i/>
        </w:rPr>
      </w:pPr>
      <w:r w:rsidRPr="002A5E4B">
        <w:rPr>
          <w:rFonts w:asciiTheme="majorHAnsi" w:hAnsiTheme="majorHAnsi" w:cstheme="majorHAnsi"/>
          <w:i/>
        </w:rPr>
        <w:t xml:space="preserve">● Glasgow Coma Scale (GCS) greater than 6 to 12 at hospital </w:t>
      </w:r>
      <w:proofErr w:type="gramStart"/>
      <w:r w:rsidRPr="002A5E4B">
        <w:rPr>
          <w:rFonts w:asciiTheme="majorHAnsi" w:hAnsiTheme="majorHAnsi" w:cstheme="majorHAnsi"/>
          <w:i/>
        </w:rPr>
        <w:t>admission;</w:t>
      </w:r>
      <w:proofErr w:type="gramEnd"/>
    </w:p>
    <w:p w14:paraId="7D891587" w14:textId="12DB7834" w:rsidR="002A5E4B" w:rsidRDefault="002A5E4B" w:rsidP="002A5E4B">
      <w:pPr>
        <w:spacing w:line="360" w:lineRule="auto"/>
        <w:ind w:left="360"/>
        <w:jc w:val="both"/>
        <w:rPr>
          <w:rFonts w:asciiTheme="majorHAnsi" w:hAnsiTheme="majorHAnsi" w:cstheme="majorHAnsi"/>
          <w:i/>
        </w:rPr>
      </w:pPr>
      <w:r w:rsidRPr="002A5E4B">
        <w:rPr>
          <w:rFonts w:asciiTheme="majorHAnsi" w:hAnsiTheme="majorHAnsi" w:cstheme="majorHAnsi"/>
          <w:i/>
        </w:rPr>
        <w:t>● Presence of acute intraparenchymal hemorrhage and/or contusion confirmed by magnetic resonance imaging (MRI) and/or computed tomography (CT).</w:t>
      </w:r>
    </w:p>
    <w:p w14:paraId="089F232F" w14:textId="77777777" w:rsidR="002A5E4B" w:rsidRDefault="002A5E4B" w:rsidP="002A5E4B">
      <w:pPr>
        <w:spacing w:line="360" w:lineRule="auto"/>
        <w:ind w:left="360"/>
        <w:jc w:val="both"/>
        <w:rPr>
          <w:rFonts w:asciiTheme="majorHAnsi" w:hAnsiTheme="majorHAnsi" w:cstheme="majorHAnsi"/>
          <w:i/>
        </w:rPr>
      </w:pPr>
    </w:p>
    <w:p w14:paraId="71B3E13C" w14:textId="77777777" w:rsidR="002A5E4B" w:rsidRPr="002A5E4B" w:rsidRDefault="002A5E4B" w:rsidP="002A5E4B">
      <w:pPr>
        <w:spacing w:line="360" w:lineRule="auto"/>
        <w:jc w:val="both"/>
        <w:rPr>
          <w:rFonts w:asciiTheme="majorHAnsi" w:hAnsiTheme="majorHAnsi" w:cstheme="majorHAnsi"/>
          <w:i/>
          <w:lang w:val="pt-BR"/>
        </w:rPr>
      </w:pPr>
      <w:r w:rsidRPr="002A5E4B">
        <w:rPr>
          <w:rFonts w:asciiTheme="majorHAnsi" w:hAnsiTheme="majorHAnsi" w:cstheme="majorHAnsi"/>
          <w:i/>
          <w:lang w:val="pt-BR"/>
        </w:rPr>
        <w:t>Exclusion criteria</w:t>
      </w:r>
    </w:p>
    <w:p w14:paraId="72FE680E"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Vulnerable participants, living on the streets, without documentation and without a fixed address and/or contact with family </w:t>
      </w:r>
      <w:proofErr w:type="gramStart"/>
      <w:r w:rsidRPr="002A5E4B">
        <w:rPr>
          <w:rFonts w:asciiTheme="majorHAnsi" w:hAnsiTheme="majorHAnsi" w:cstheme="majorHAnsi"/>
          <w:lang w:val="en-US"/>
        </w:rPr>
        <w:t>members;</w:t>
      </w:r>
      <w:proofErr w:type="gramEnd"/>
    </w:p>
    <w:p w14:paraId="24EAD1C8"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Undocumented patients of questionable age (18-75 years) at hospital </w:t>
      </w:r>
      <w:proofErr w:type="gramStart"/>
      <w:r w:rsidRPr="002A5E4B">
        <w:rPr>
          <w:rFonts w:asciiTheme="majorHAnsi" w:hAnsiTheme="majorHAnsi" w:cstheme="majorHAnsi"/>
          <w:lang w:val="en-US"/>
        </w:rPr>
        <w:t>admission;</w:t>
      </w:r>
      <w:proofErr w:type="gramEnd"/>
    </w:p>
    <w:p w14:paraId="5F7EA053"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Being on biperiden during the period of TBI </w:t>
      </w:r>
      <w:proofErr w:type="gramStart"/>
      <w:r w:rsidRPr="002A5E4B">
        <w:rPr>
          <w:rFonts w:asciiTheme="majorHAnsi" w:hAnsiTheme="majorHAnsi" w:cstheme="majorHAnsi"/>
          <w:lang w:val="en-US"/>
        </w:rPr>
        <w:t>occurrence;</w:t>
      </w:r>
      <w:proofErr w:type="gramEnd"/>
    </w:p>
    <w:p w14:paraId="17D9729C"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History of epilepsy (confirmed by medical records and/or by use of specific medication and/or referred by the legal guardian</w:t>
      </w:r>
      <w:proofErr w:type="gramStart"/>
      <w:r w:rsidRPr="002A5E4B">
        <w:rPr>
          <w:rFonts w:asciiTheme="majorHAnsi" w:hAnsiTheme="majorHAnsi" w:cstheme="majorHAnsi"/>
          <w:lang w:val="en-US"/>
        </w:rPr>
        <w:t>);</w:t>
      </w:r>
      <w:proofErr w:type="gramEnd"/>
    </w:p>
    <w:p w14:paraId="0C0E9814"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History of seizures or use of antiepileptic </w:t>
      </w:r>
      <w:proofErr w:type="gramStart"/>
      <w:r w:rsidRPr="002A5E4B">
        <w:rPr>
          <w:rFonts w:asciiTheme="majorHAnsi" w:hAnsiTheme="majorHAnsi" w:cstheme="majorHAnsi"/>
          <w:lang w:val="en-US"/>
        </w:rPr>
        <w:t>medication;</w:t>
      </w:r>
      <w:proofErr w:type="gramEnd"/>
    </w:p>
    <w:p w14:paraId="26ECDCBB"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History of perinatal injuries, meningitis and/or encephalitis (or other proven or probable risk factor for epilepsy</w:t>
      </w:r>
      <w:proofErr w:type="gramStart"/>
      <w:r w:rsidRPr="002A5E4B">
        <w:rPr>
          <w:rFonts w:asciiTheme="majorHAnsi" w:hAnsiTheme="majorHAnsi" w:cstheme="majorHAnsi"/>
          <w:lang w:val="en-US"/>
        </w:rPr>
        <w:t>);</w:t>
      </w:r>
      <w:proofErr w:type="gramEnd"/>
    </w:p>
    <w:p w14:paraId="67DCC4E1"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History of neoplasia, neurodegenerative diseases; </w:t>
      </w:r>
      <w:proofErr w:type="spellStart"/>
      <w:r w:rsidRPr="002A5E4B">
        <w:rPr>
          <w:rFonts w:asciiTheme="majorHAnsi" w:hAnsiTheme="majorHAnsi" w:cstheme="majorHAnsi"/>
          <w:lang w:val="en-US"/>
        </w:rPr>
        <w:t>hx</w:t>
      </w:r>
      <w:proofErr w:type="spellEnd"/>
      <w:r w:rsidRPr="002A5E4B">
        <w:rPr>
          <w:rFonts w:asciiTheme="majorHAnsi" w:hAnsiTheme="majorHAnsi" w:cstheme="majorHAnsi"/>
          <w:lang w:val="en-US"/>
        </w:rPr>
        <w:t xml:space="preserve"> of cerebrovascular accident (CVA), cognitive dysfunction, benign prostatic hyperplasia, atrioventricular block or any other cardiac arrhythmia, or </w:t>
      </w:r>
      <w:proofErr w:type="gramStart"/>
      <w:r w:rsidRPr="002A5E4B">
        <w:rPr>
          <w:rFonts w:asciiTheme="majorHAnsi" w:hAnsiTheme="majorHAnsi" w:cstheme="majorHAnsi"/>
          <w:lang w:val="en-US"/>
        </w:rPr>
        <w:t>glaucoma;</w:t>
      </w:r>
      <w:proofErr w:type="gramEnd"/>
    </w:p>
    <w:p w14:paraId="1B79C881"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w:t>
      </w:r>
      <w:proofErr w:type="gramStart"/>
      <w:r w:rsidRPr="002A5E4B">
        <w:rPr>
          <w:rFonts w:asciiTheme="majorHAnsi" w:hAnsiTheme="majorHAnsi" w:cstheme="majorHAnsi"/>
          <w:lang w:val="en-US"/>
        </w:rPr>
        <w:t>Gestation;</w:t>
      </w:r>
      <w:proofErr w:type="gramEnd"/>
    </w:p>
    <w:p w14:paraId="2A0DAB65" w14:textId="77777777" w:rsidR="002A5E4B" w:rsidRPr="002A5E4B"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xml:space="preserve">● Current participation in another clinical </w:t>
      </w:r>
      <w:proofErr w:type="gramStart"/>
      <w:r w:rsidRPr="002A5E4B">
        <w:rPr>
          <w:rFonts w:asciiTheme="majorHAnsi" w:hAnsiTheme="majorHAnsi" w:cstheme="majorHAnsi"/>
          <w:lang w:val="en-US"/>
        </w:rPr>
        <w:t>trial;</w:t>
      </w:r>
      <w:proofErr w:type="gramEnd"/>
    </w:p>
    <w:p w14:paraId="615E0D0E" w14:textId="4B85EF66" w:rsidR="00A636C3" w:rsidRDefault="002A5E4B" w:rsidP="002A5E4B">
      <w:pPr>
        <w:spacing w:line="360" w:lineRule="auto"/>
        <w:ind w:left="720"/>
        <w:jc w:val="both"/>
        <w:rPr>
          <w:rFonts w:asciiTheme="majorHAnsi" w:hAnsiTheme="majorHAnsi" w:cstheme="majorHAnsi"/>
          <w:lang w:val="en-US"/>
        </w:rPr>
      </w:pPr>
      <w:r w:rsidRPr="002A5E4B">
        <w:rPr>
          <w:rFonts w:asciiTheme="majorHAnsi" w:hAnsiTheme="majorHAnsi" w:cstheme="majorHAnsi"/>
          <w:lang w:val="en-US"/>
        </w:rPr>
        <w:t>● Carriers of cardiac arrhythmias or glaucoma, due to the increased risk of developing adverse reactions.</w:t>
      </w:r>
    </w:p>
    <w:p w14:paraId="6C3DF7EA" w14:textId="77777777" w:rsidR="002A5E4B" w:rsidRPr="002A5E4B" w:rsidRDefault="002A5E4B" w:rsidP="002A5E4B">
      <w:pPr>
        <w:spacing w:line="360" w:lineRule="auto"/>
        <w:ind w:left="720"/>
        <w:jc w:val="both"/>
        <w:rPr>
          <w:rFonts w:asciiTheme="majorHAnsi" w:hAnsiTheme="majorHAnsi" w:cstheme="majorHAnsi"/>
          <w:lang w:val="en-US"/>
        </w:rPr>
      </w:pPr>
    </w:p>
    <w:p w14:paraId="3B488E2C" w14:textId="77777777" w:rsidR="00F9613F" w:rsidRPr="00F9613F" w:rsidRDefault="00F9613F" w:rsidP="00F9613F">
      <w:pPr>
        <w:spacing w:line="360" w:lineRule="auto"/>
        <w:ind w:firstLine="720"/>
        <w:jc w:val="both"/>
        <w:rPr>
          <w:rFonts w:asciiTheme="majorHAnsi" w:hAnsiTheme="majorHAnsi" w:cstheme="majorHAnsi"/>
          <w:lang w:val="en-US"/>
        </w:rPr>
      </w:pPr>
      <w:r w:rsidRPr="00F9613F">
        <w:rPr>
          <w:rFonts w:asciiTheme="majorHAnsi" w:hAnsiTheme="majorHAnsi" w:cstheme="majorHAnsi"/>
          <w:lang w:val="en-US"/>
        </w:rPr>
        <w:t>To ensure compliance with the eligibility criteria, before the first dose of the drug, magnetic resonance imaging and/or computed tomography will be performed to confirm the condition of acute intraparenchymal hemorrhage. An electrocardiogram will be requested to assess the presence of arrhythmia.</w:t>
      </w:r>
    </w:p>
    <w:p w14:paraId="698307BF" w14:textId="77777777" w:rsidR="00F9613F" w:rsidRPr="00F9613F" w:rsidRDefault="00F9613F" w:rsidP="00F9613F">
      <w:pPr>
        <w:spacing w:line="360" w:lineRule="auto"/>
        <w:ind w:left="720"/>
        <w:jc w:val="both"/>
        <w:rPr>
          <w:rFonts w:asciiTheme="majorHAnsi" w:hAnsiTheme="majorHAnsi" w:cstheme="majorHAnsi"/>
          <w:lang w:val="en-US"/>
        </w:rPr>
      </w:pPr>
    </w:p>
    <w:p w14:paraId="1775EA85" w14:textId="77777777" w:rsidR="00F9613F" w:rsidRDefault="00F9613F" w:rsidP="00F9613F">
      <w:pPr>
        <w:spacing w:line="360" w:lineRule="auto"/>
        <w:ind w:firstLine="720"/>
        <w:jc w:val="both"/>
        <w:rPr>
          <w:rFonts w:asciiTheme="majorHAnsi" w:hAnsiTheme="majorHAnsi" w:cstheme="majorHAnsi"/>
          <w:lang w:val="en-US"/>
        </w:rPr>
      </w:pPr>
      <w:r w:rsidRPr="00F9613F">
        <w:rPr>
          <w:rFonts w:asciiTheme="majorHAnsi" w:hAnsiTheme="majorHAnsi" w:cstheme="majorHAnsi"/>
          <w:lang w:val="en-US"/>
        </w:rPr>
        <w:t xml:space="preserve">After inclusion, the following information will be collected in a standardized form on a widely used electronic platform called </w:t>
      </w:r>
      <w:proofErr w:type="spellStart"/>
      <w:r w:rsidRPr="00F9613F">
        <w:rPr>
          <w:rFonts w:asciiTheme="majorHAnsi" w:hAnsiTheme="majorHAnsi" w:cstheme="majorHAnsi"/>
          <w:lang w:val="en-US"/>
        </w:rPr>
        <w:t>RedCap</w:t>
      </w:r>
      <w:proofErr w:type="spellEnd"/>
      <w:r w:rsidRPr="00F9613F">
        <w:rPr>
          <w:rFonts w:asciiTheme="majorHAnsi" w:hAnsiTheme="majorHAnsi" w:cstheme="majorHAnsi"/>
          <w:lang w:val="en-US"/>
        </w:rPr>
        <w:t xml:space="preserve"> and stored later with maintenance of anonymity:</w:t>
      </w:r>
    </w:p>
    <w:p w14:paraId="226E82C2" w14:textId="77777777" w:rsidR="00F9613F" w:rsidRPr="00F9613F" w:rsidRDefault="00F9613F" w:rsidP="00F9613F">
      <w:pPr>
        <w:spacing w:line="360" w:lineRule="auto"/>
        <w:ind w:left="720"/>
        <w:jc w:val="both"/>
        <w:rPr>
          <w:rFonts w:asciiTheme="majorHAnsi" w:hAnsiTheme="majorHAnsi" w:cstheme="majorHAnsi"/>
          <w:lang w:val="en-US"/>
        </w:rPr>
      </w:pPr>
      <w:r w:rsidRPr="00F9613F">
        <w:rPr>
          <w:rFonts w:asciiTheme="majorHAnsi" w:hAnsiTheme="majorHAnsi" w:cstheme="majorHAnsi"/>
          <w:lang w:val="en-US"/>
        </w:rPr>
        <w:lastRenderedPageBreak/>
        <w:t>• demographic and clinical variables (age, comorbidity profile, inventory of previous medication and habits, especially alcoholism).</w:t>
      </w:r>
    </w:p>
    <w:p w14:paraId="049B0E6B" w14:textId="77777777" w:rsidR="00F9613F" w:rsidRPr="00F9613F" w:rsidRDefault="00F9613F" w:rsidP="00F9613F">
      <w:pPr>
        <w:spacing w:line="360" w:lineRule="auto"/>
        <w:ind w:left="720"/>
        <w:jc w:val="both"/>
        <w:rPr>
          <w:rFonts w:asciiTheme="majorHAnsi" w:hAnsiTheme="majorHAnsi" w:cstheme="majorHAnsi"/>
          <w:lang w:val="en-US"/>
        </w:rPr>
      </w:pPr>
      <w:r w:rsidRPr="00F9613F">
        <w:rPr>
          <w:rFonts w:asciiTheme="majorHAnsi" w:hAnsiTheme="majorHAnsi" w:cstheme="majorHAnsi"/>
          <w:lang w:val="en-US"/>
        </w:rPr>
        <w:t>● trauma-related data (mechanism, severity, types of medication).</w:t>
      </w:r>
    </w:p>
    <w:p w14:paraId="778CFA87" w14:textId="29DFE631" w:rsidR="00A636C3" w:rsidRDefault="00F9613F" w:rsidP="00F9613F">
      <w:pPr>
        <w:spacing w:line="360" w:lineRule="auto"/>
        <w:ind w:left="720"/>
        <w:jc w:val="both"/>
        <w:rPr>
          <w:rFonts w:asciiTheme="majorHAnsi" w:hAnsiTheme="majorHAnsi" w:cstheme="majorHAnsi"/>
          <w:lang w:val="en-US"/>
        </w:rPr>
      </w:pPr>
      <w:r w:rsidRPr="00F9613F">
        <w:rPr>
          <w:rFonts w:asciiTheme="majorHAnsi" w:hAnsiTheme="majorHAnsi" w:cstheme="majorHAnsi"/>
          <w:lang w:val="en-US"/>
        </w:rPr>
        <w:t>● clinical evolution data (symptomatic, need for hospital complications and complications related to care).</w:t>
      </w:r>
    </w:p>
    <w:p w14:paraId="0D8EACFC" w14:textId="77777777" w:rsidR="00F9613F" w:rsidRPr="00F9613F" w:rsidRDefault="00F9613F" w:rsidP="00F9613F">
      <w:pPr>
        <w:spacing w:line="360" w:lineRule="auto"/>
        <w:ind w:left="720"/>
        <w:jc w:val="both"/>
        <w:rPr>
          <w:rFonts w:asciiTheme="majorHAnsi" w:hAnsiTheme="majorHAnsi" w:cstheme="majorHAnsi"/>
          <w:lang w:val="en-US"/>
        </w:rPr>
      </w:pPr>
    </w:p>
    <w:p w14:paraId="510C3BF9" w14:textId="77777777" w:rsidR="00E34BB2" w:rsidRDefault="00E34BB2" w:rsidP="00E34BB2">
      <w:pPr>
        <w:spacing w:line="360" w:lineRule="auto"/>
        <w:ind w:firstLine="720"/>
        <w:jc w:val="both"/>
        <w:rPr>
          <w:rFonts w:asciiTheme="majorHAnsi" w:hAnsiTheme="majorHAnsi" w:cstheme="majorHAnsi"/>
          <w:i/>
          <w:lang w:val="pt-BR"/>
        </w:rPr>
      </w:pPr>
      <w:r w:rsidRPr="00E34BB2">
        <w:rPr>
          <w:rFonts w:asciiTheme="majorHAnsi" w:hAnsiTheme="majorHAnsi" w:cstheme="majorHAnsi"/>
          <w:i/>
          <w:lang w:val="pt-BR"/>
        </w:rPr>
        <w:t>Sample size calculation</w:t>
      </w:r>
    </w:p>
    <w:p w14:paraId="61DBA118" w14:textId="77777777" w:rsidR="00E34BB2" w:rsidRDefault="00E34BB2" w:rsidP="00E34BB2">
      <w:pPr>
        <w:spacing w:line="360" w:lineRule="auto"/>
        <w:ind w:firstLine="720"/>
        <w:jc w:val="both"/>
        <w:rPr>
          <w:rFonts w:asciiTheme="majorHAnsi" w:hAnsiTheme="majorHAnsi" w:cstheme="majorHAnsi"/>
          <w:lang w:val="en-US"/>
        </w:rPr>
      </w:pPr>
      <w:r w:rsidRPr="00E34BB2">
        <w:rPr>
          <w:rFonts w:asciiTheme="majorHAnsi" w:hAnsiTheme="majorHAnsi" w:cstheme="majorHAnsi"/>
          <w:lang w:val="en-US"/>
        </w:rPr>
        <w:t>For the sample calculation, the Pocock formula [Pocock 1993] was used for dichotomous outcomes and considering the following premises:</w:t>
      </w:r>
    </w:p>
    <w:p w14:paraId="0687B30E" w14:textId="77777777" w:rsidR="00E34BB2" w:rsidRPr="00E34BB2" w:rsidRDefault="00E34BB2" w:rsidP="00E34BB2">
      <w:pPr>
        <w:spacing w:line="360" w:lineRule="auto"/>
        <w:ind w:firstLine="360"/>
        <w:jc w:val="both"/>
        <w:rPr>
          <w:rFonts w:asciiTheme="majorHAnsi" w:hAnsiTheme="majorHAnsi" w:cstheme="majorHAnsi"/>
        </w:rPr>
      </w:pPr>
      <w:r w:rsidRPr="00E34BB2">
        <w:rPr>
          <w:rFonts w:asciiTheme="majorHAnsi" w:hAnsiTheme="majorHAnsi" w:cstheme="majorHAnsi"/>
        </w:rPr>
        <w:t>● Outcome: proportion of participants presenting EPT after two years.</w:t>
      </w:r>
    </w:p>
    <w:p w14:paraId="1EECCB2C" w14:textId="77777777" w:rsidR="00E34BB2" w:rsidRPr="00E34BB2" w:rsidRDefault="00E34BB2" w:rsidP="00E34BB2">
      <w:pPr>
        <w:spacing w:line="360" w:lineRule="auto"/>
        <w:ind w:firstLine="360"/>
        <w:jc w:val="both"/>
        <w:rPr>
          <w:rFonts w:asciiTheme="majorHAnsi" w:hAnsiTheme="majorHAnsi" w:cstheme="majorHAnsi"/>
        </w:rPr>
      </w:pPr>
      <w:r w:rsidRPr="00E34BB2">
        <w:rPr>
          <w:rFonts w:asciiTheme="majorHAnsi" w:hAnsiTheme="majorHAnsi" w:cstheme="majorHAnsi"/>
        </w:rPr>
        <w:t>● Expected proportion of primary outcome in control group: 25% [</w:t>
      </w:r>
      <w:proofErr w:type="spellStart"/>
      <w:r w:rsidRPr="00E34BB2">
        <w:rPr>
          <w:rFonts w:asciiTheme="majorHAnsi" w:hAnsiTheme="majorHAnsi" w:cstheme="majorHAnsi"/>
        </w:rPr>
        <w:t>Anegers</w:t>
      </w:r>
      <w:proofErr w:type="spellEnd"/>
      <w:r w:rsidRPr="00E34BB2">
        <w:rPr>
          <w:rFonts w:asciiTheme="majorHAnsi" w:hAnsiTheme="majorHAnsi" w:cstheme="majorHAnsi"/>
        </w:rPr>
        <w:t xml:space="preserve"> 1998; </w:t>
      </w:r>
      <w:proofErr w:type="spellStart"/>
      <w:r w:rsidRPr="00E34BB2">
        <w:rPr>
          <w:rFonts w:asciiTheme="majorHAnsi" w:hAnsiTheme="majorHAnsi" w:cstheme="majorHAnsi"/>
        </w:rPr>
        <w:t>Asikainen</w:t>
      </w:r>
      <w:proofErr w:type="spellEnd"/>
      <w:r w:rsidRPr="00E34BB2">
        <w:rPr>
          <w:rFonts w:asciiTheme="majorHAnsi" w:hAnsiTheme="majorHAnsi" w:cstheme="majorHAnsi"/>
        </w:rPr>
        <w:t xml:space="preserve"> 1999; Englander 2003; Hauser 1991; </w:t>
      </w:r>
      <w:proofErr w:type="spellStart"/>
      <w:r w:rsidRPr="00E34BB2">
        <w:rPr>
          <w:rFonts w:asciiTheme="majorHAnsi" w:hAnsiTheme="majorHAnsi" w:cstheme="majorHAnsi"/>
        </w:rPr>
        <w:t>Raymont</w:t>
      </w:r>
      <w:proofErr w:type="spellEnd"/>
      <w:r w:rsidRPr="00E34BB2">
        <w:rPr>
          <w:rFonts w:asciiTheme="majorHAnsi" w:hAnsiTheme="majorHAnsi" w:cstheme="majorHAnsi"/>
        </w:rPr>
        <w:t xml:space="preserve"> 2010; Salazar 2015; Temkin 1990].</w:t>
      </w:r>
    </w:p>
    <w:p w14:paraId="7D3B1B77" w14:textId="77777777" w:rsidR="00E34BB2" w:rsidRPr="00E34BB2" w:rsidRDefault="00E34BB2" w:rsidP="00E34BB2">
      <w:pPr>
        <w:spacing w:line="360" w:lineRule="auto"/>
        <w:ind w:firstLine="360"/>
        <w:jc w:val="both"/>
        <w:rPr>
          <w:rFonts w:asciiTheme="majorHAnsi" w:hAnsiTheme="majorHAnsi" w:cstheme="majorHAnsi"/>
        </w:rPr>
      </w:pPr>
      <w:r w:rsidRPr="00E34BB2">
        <w:rPr>
          <w:rFonts w:asciiTheme="majorHAnsi" w:hAnsiTheme="majorHAnsi" w:cstheme="majorHAnsi"/>
        </w:rPr>
        <w:t>● Expected proportion of primary outcome in the intervention group: 10%</w:t>
      </w:r>
    </w:p>
    <w:p w14:paraId="5F99A52E" w14:textId="77777777" w:rsidR="00E34BB2" w:rsidRPr="00E34BB2" w:rsidRDefault="00E34BB2" w:rsidP="00E34BB2">
      <w:pPr>
        <w:spacing w:line="360" w:lineRule="auto"/>
        <w:ind w:firstLine="360"/>
        <w:jc w:val="both"/>
        <w:rPr>
          <w:rFonts w:asciiTheme="majorHAnsi" w:hAnsiTheme="majorHAnsi" w:cstheme="majorHAnsi"/>
        </w:rPr>
      </w:pPr>
      <w:r w:rsidRPr="00E34BB2">
        <w:rPr>
          <w:rFonts w:asciiTheme="majorHAnsi" w:hAnsiTheme="majorHAnsi" w:cstheme="majorHAnsi"/>
        </w:rPr>
        <w:t>● Type 1 error (alpha): 0.05</w:t>
      </w:r>
    </w:p>
    <w:p w14:paraId="2462C6C8" w14:textId="77777777" w:rsidR="00E34BB2" w:rsidRPr="00E34BB2" w:rsidRDefault="00E34BB2" w:rsidP="00E34BB2">
      <w:pPr>
        <w:spacing w:line="360" w:lineRule="auto"/>
        <w:ind w:firstLine="360"/>
        <w:jc w:val="both"/>
        <w:rPr>
          <w:rFonts w:asciiTheme="majorHAnsi" w:hAnsiTheme="majorHAnsi" w:cstheme="majorHAnsi"/>
        </w:rPr>
      </w:pPr>
      <w:r w:rsidRPr="00E34BB2">
        <w:rPr>
          <w:rFonts w:asciiTheme="majorHAnsi" w:hAnsiTheme="majorHAnsi" w:cstheme="majorHAnsi"/>
        </w:rPr>
        <w:t>● Type 2 error (beta): 0.10</w:t>
      </w:r>
    </w:p>
    <w:p w14:paraId="022BEDB9" w14:textId="7C709DCD" w:rsidR="00280333" w:rsidRPr="00412E44" w:rsidRDefault="00E34BB2" w:rsidP="00E34BB2">
      <w:pPr>
        <w:spacing w:line="360" w:lineRule="auto"/>
        <w:ind w:firstLine="360"/>
        <w:jc w:val="both"/>
        <w:rPr>
          <w:rFonts w:asciiTheme="majorHAnsi" w:hAnsiTheme="majorHAnsi" w:cstheme="majorHAnsi"/>
        </w:rPr>
      </w:pPr>
      <w:r w:rsidRPr="00E34BB2">
        <w:rPr>
          <w:rFonts w:asciiTheme="majorHAnsi" w:hAnsiTheme="majorHAnsi" w:cstheme="majorHAnsi"/>
        </w:rPr>
        <w:t>● Expected proportion of loss: 20%</w:t>
      </w:r>
    </w:p>
    <w:p w14:paraId="521D39A8" w14:textId="77777777" w:rsidR="00E34BB2" w:rsidRPr="00E34BB2" w:rsidRDefault="007F600C" w:rsidP="00E34BB2">
      <w:pPr>
        <w:spacing w:line="360" w:lineRule="auto"/>
        <w:jc w:val="both"/>
        <w:rPr>
          <w:rFonts w:asciiTheme="majorHAnsi" w:hAnsiTheme="majorHAnsi" w:cstheme="majorHAnsi"/>
          <w:lang w:val="pt-BR"/>
        </w:rPr>
      </w:pPr>
      <w:r>
        <w:rPr>
          <w:rFonts w:asciiTheme="minorHAnsi" w:hAnsiTheme="minorHAnsi" w:cstheme="minorHAnsi"/>
          <w:lang w:val="pt-BR"/>
        </w:rPr>
        <w:tab/>
      </w:r>
    </w:p>
    <w:p w14:paraId="3E259A86" w14:textId="4639B188" w:rsidR="003B7305" w:rsidRPr="00E34BB2" w:rsidRDefault="00E34BB2" w:rsidP="00E34BB2">
      <w:pPr>
        <w:spacing w:line="360" w:lineRule="auto"/>
        <w:jc w:val="both"/>
        <w:rPr>
          <w:rFonts w:asciiTheme="majorHAnsi" w:hAnsiTheme="majorHAnsi" w:cstheme="majorHAnsi"/>
          <w:lang w:val="en-US"/>
        </w:rPr>
      </w:pPr>
      <w:r w:rsidRPr="00E34BB2">
        <w:rPr>
          <w:rFonts w:asciiTheme="majorHAnsi" w:hAnsiTheme="majorHAnsi" w:cstheme="majorHAnsi"/>
          <w:lang w:val="en-US"/>
        </w:rPr>
        <w:t>Thus, 156 participants would be needed in each group, and the inclusion of 312 participants is planned.</w:t>
      </w:r>
    </w:p>
    <w:p w14:paraId="0A4B67D5" w14:textId="5F9ECEFF" w:rsidR="00A636C3" w:rsidRPr="00412E44" w:rsidRDefault="00E34BB2">
      <w:pPr>
        <w:spacing w:before="240" w:after="240" w:line="360" w:lineRule="auto"/>
        <w:jc w:val="both"/>
        <w:rPr>
          <w:rFonts w:asciiTheme="majorHAnsi" w:hAnsiTheme="majorHAnsi" w:cstheme="majorHAnsi"/>
          <w:b/>
          <w:lang w:val="pt-BR"/>
        </w:rPr>
      </w:pPr>
      <w:r>
        <w:rPr>
          <w:rFonts w:asciiTheme="majorHAnsi" w:hAnsiTheme="majorHAnsi" w:cstheme="majorHAnsi"/>
          <w:b/>
          <w:lang w:val="pt-BR"/>
        </w:rPr>
        <w:t>Intervention</w:t>
      </w:r>
    </w:p>
    <w:p w14:paraId="6629A701" w14:textId="71982456" w:rsidR="002C2D6C" w:rsidRPr="002C2D6C" w:rsidRDefault="002C2D6C" w:rsidP="00604E11">
      <w:pPr>
        <w:spacing w:before="240" w:after="240" w:line="360" w:lineRule="auto"/>
        <w:ind w:firstLine="720"/>
        <w:jc w:val="both"/>
        <w:rPr>
          <w:rFonts w:asciiTheme="majorHAnsi" w:hAnsiTheme="majorHAnsi" w:cstheme="majorHAnsi"/>
          <w:i/>
          <w:lang w:val="en-US"/>
        </w:rPr>
      </w:pPr>
      <w:r w:rsidRPr="002C2D6C">
        <w:rPr>
          <w:rFonts w:asciiTheme="majorHAnsi" w:hAnsiTheme="majorHAnsi" w:cstheme="majorHAnsi"/>
          <w:i/>
          <w:lang w:val="en-US"/>
        </w:rPr>
        <w:t>Biperiden group</w:t>
      </w:r>
    </w:p>
    <w:p w14:paraId="7D9A1D15" w14:textId="77777777" w:rsidR="002C2D6C" w:rsidRPr="002C2D6C" w:rsidRDefault="002C2D6C" w:rsidP="002C2D6C">
      <w:pPr>
        <w:spacing w:before="240" w:after="240" w:line="360" w:lineRule="auto"/>
        <w:jc w:val="both"/>
        <w:rPr>
          <w:rFonts w:asciiTheme="majorHAnsi" w:hAnsiTheme="majorHAnsi" w:cstheme="majorHAnsi"/>
          <w:lang w:val="en-US"/>
        </w:rPr>
      </w:pPr>
      <w:r w:rsidRPr="002C2D6C">
        <w:rPr>
          <w:rFonts w:asciiTheme="majorHAnsi" w:hAnsiTheme="majorHAnsi" w:cstheme="majorHAnsi"/>
          <w:lang w:val="en-US"/>
        </w:rPr>
        <w:t>Within 12 hours after TBI, participants in the biperiden group will receive a dose of 5 mg (1 ml of total volume) of biperiden lactate (</w:t>
      </w:r>
      <w:proofErr w:type="spellStart"/>
      <w:r w:rsidRPr="002C2D6C">
        <w:rPr>
          <w:rFonts w:asciiTheme="majorHAnsi" w:hAnsiTheme="majorHAnsi" w:cstheme="majorHAnsi"/>
          <w:lang w:val="en-US"/>
        </w:rPr>
        <w:t>Cinetol</w:t>
      </w:r>
      <w:proofErr w:type="spellEnd"/>
      <w:r w:rsidRPr="002C2D6C">
        <w:rPr>
          <w:rFonts w:asciiTheme="majorHAnsi" w:hAnsiTheme="majorHAnsi" w:cstheme="majorHAnsi"/>
          <w:lang w:val="en-US"/>
        </w:rPr>
        <w:t xml:space="preserve">, </w:t>
      </w:r>
      <w:proofErr w:type="spellStart"/>
      <w:r w:rsidRPr="002C2D6C">
        <w:rPr>
          <w:rFonts w:asciiTheme="majorHAnsi" w:hAnsiTheme="majorHAnsi" w:cstheme="majorHAnsi"/>
          <w:lang w:val="en-US"/>
        </w:rPr>
        <w:t>Cristália</w:t>
      </w:r>
      <w:proofErr w:type="spellEnd"/>
      <w:r w:rsidRPr="002C2D6C">
        <w:rPr>
          <w:rFonts w:asciiTheme="majorHAnsi" w:hAnsiTheme="majorHAnsi" w:cstheme="majorHAnsi"/>
          <w:lang w:val="en-US"/>
        </w:rPr>
        <w:t xml:space="preserve">, Brazil), diluted in 10 ml of 0.9 saline solution. % </w:t>
      </w:r>
      <w:proofErr w:type="gramStart"/>
      <w:r w:rsidRPr="002C2D6C">
        <w:rPr>
          <w:rFonts w:asciiTheme="majorHAnsi" w:hAnsiTheme="majorHAnsi" w:cstheme="majorHAnsi"/>
          <w:lang w:val="en-US"/>
        </w:rPr>
        <w:t>and</w:t>
      </w:r>
      <w:proofErr w:type="gramEnd"/>
      <w:r w:rsidRPr="002C2D6C">
        <w:rPr>
          <w:rFonts w:asciiTheme="majorHAnsi" w:hAnsiTheme="majorHAnsi" w:cstheme="majorHAnsi"/>
          <w:lang w:val="en-US"/>
        </w:rPr>
        <w:t xml:space="preserve"> applied intravenously slowly. The treatment will be repeated every 6 hours for 10 consecutive days.</w:t>
      </w:r>
    </w:p>
    <w:p w14:paraId="1C5A979B" w14:textId="77777777" w:rsidR="002C2D6C" w:rsidRPr="002C2D6C" w:rsidRDefault="002C2D6C" w:rsidP="002C2D6C">
      <w:pPr>
        <w:spacing w:before="240" w:after="240" w:line="360" w:lineRule="auto"/>
        <w:jc w:val="both"/>
        <w:rPr>
          <w:rFonts w:asciiTheme="majorHAnsi" w:hAnsiTheme="majorHAnsi" w:cstheme="majorHAnsi"/>
          <w:lang w:val="en-US"/>
        </w:rPr>
      </w:pPr>
      <w:r w:rsidRPr="002C2D6C">
        <w:rPr>
          <w:rFonts w:asciiTheme="majorHAnsi" w:hAnsiTheme="majorHAnsi" w:cstheme="majorHAnsi"/>
          <w:lang w:val="en-US"/>
        </w:rPr>
        <w:t>In case of hospital discharge within a period of less than 10 days, the participant may be included in the study analysis (by intention to treat) if he/she has used 30 doses or more of Biperiden. If the participant has not reached these 30 minimum doses, a protocol deviation notification will be made.</w:t>
      </w:r>
    </w:p>
    <w:p w14:paraId="5A76DB37" w14:textId="77777777" w:rsidR="002C2D6C" w:rsidRPr="002C2D6C" w:rsidRDefault="002C2D6C" w:rsidP="002C2D6C">
      <w:pPr>
        <w:spacing w:before="240" w:after="240" w:line="360" w:lineRule="auto"/>
        <w:jc w:val="both"/>
        <w:rPr>
          <w:rFonts w:asciiTheme="majorHAnsi" w:hAnsiTheme="majorHAnsi" w:cstheme="majorHAnsi"/>
          <w:lang w:val="en-US"/>
        </w:rPr>
      </w:pPr>
      <w:r w:rsidRPr="002C2D6C">
        <w:rPr>
          <w:rFonts w:asciiTheme="majorHAnsi" w:hAnsiTheme="majorHAnsi" w:cstheme="majorHAnsi"/>
          <w:lang w:val="en-US"/>
        </w:rPr>
        <w:t xml:space="preserve">In the proposed clinical trial, the dose administered to the 'biperiden group' will be one ampoule (5 mg of biperiden lactate), diluted in saline and administered for 30 to 60 minutes, every 6 hours, for 10 days, </w:t>
      </w:r>
      <w:r w:rsidRPr="002C2D6C">
        <w:rPr>
          <w:rFonts w:asciiTheme="majorHAnsi" w:hAnsiTheme="majorHAnsi" w:cstheme="majorHAnsi"/>
          <w:lang w:val="en-US"/>
        </w:rPr>
        <w:lastRenderedPageBreak/>
        <w:t>completing 40 doses. administered. The total daily dose will then be 20mg of biperiden lactate, within the limit shown on the package insert.</w:t>
      </w:r>
    </w:p>
    <w:p w14:paraId="7C5C4167" w14:textId="77777777" w:rsidR="002C2D6C" w:rsidRDefault="002C2D6C" w:rsidP="002C2D6C">
      <w:pPr>
        <w:spacing w:before="240" w:after="240" w:line="360" w:lineRule="auto"/>
        <w:jc w:val="both"/>
        <w:rPr>
          <w:rFonts w:asciiTheme="majorHAnsi" w:hAnsiTheme="majorHAnsi" w:cstheme="majorHAnsi"/>
          <w:lang w:val="en-US"/>
        </w:rPr>
      </w:pPr>
      <w:r w:rsidRPr="002C2D6C">
        <w:rPr>
          <w:rFonts w:asciiTheme="majorHAnsi" w:hAnsiTheme="majorHAnsi" w:cstheme="majorHAnsi"/>
          <w:lang w:val="en-US"/>
        </w:rPr>
        <w:t xml:space="preserve">As additional safety information, the 20 mg/day dose is being used in the ongoing phase 3 clinical trial (approved by the CEP of Hospital das </w:t>
      </w:r>
      <w:proofErr w:type="spellStart"/>
      <w:r w:rsidRPr="002C2D6C">
        <w:rPr>
          <w:rFonts w:asciiTheme="majorHAnsi" w:hAnsiTheme="majorHAnsi" w:cstheme="majorHAnsi"/>
          <w:lang w:val="en-US"/>
        </w:rPr>
        <w:t>Clínicas</w:t>
      </w:r>
      <w:proofErr w:type="spellEnd"/>
      <w:r w:rsidRPr="002C2D6C">
        <w:rPr>
          <w:rFonts w:asciiTheme="majorHAnsi" w:hAnsiTheme="majorHAnsi" w:cstheme="majorHAnsi"/>
          <w:lang w:val="en-US"/>
        </w:rPr>
        <w:t xml:space="preserve"> da </w:t>
      </w:r>
      <w:proofErr w:type="spellStart"/>
      <w:r w:rsidRPr="002C2D6C">
        <w:rPr>
          <w:rFonts w:asciiTheme="majorHAnsi" w:hAnsiTheme="majorHAnsi" w:cstheme="majorHAnsi"/>
          <w:lang w:val="en-US"/>
        </w:rPr>
        <w:t>Faculdade</w:t>
      </w:r>
      <w:proofErr w:type="spellEnd"/>
      <w:r w:rsidRPr="002C2D6C">
        <w:rPr>
          <w:rFonts w:asciiTheme="majorHAnsi" w:hAnsiTheme="majorHAnsi" w:cstheme="majorHAnsi"/>
          <w:lang w:val="en-US"/>
        </w:rPr>
        <w:t xml:space="preserve"> de </w:t>
      </w:r>
      <w:proofErr w:type="spellStart"/>
      <w:r w:rsidRPr="002C2D6C">
        <w:rPr>
          <w:rFonts w:asciiTheme="majorHAnsi" w:hAnsiTheme="majorHAnsi" w:cstheme="majorHAnsi"/>
          <w:lang w:val="en-US"/>
        </w:rPr>
        <w:t>Medicina</w:t>
      </w:r>
      <w:proofErr w:type="spellEnd"/>
      <w:r w:rsidRPr="002C2D6C">
        <w:rPr>
          <w:rFonts w:asciiTheme="majorHAnsi" w:hAnsiTheme="majorHAnsi" w:cstheme="majorHAnsi"/>
          <w:lang w:val="en-US"/>
        </w:rPr>
        <w:t xml:space="preserve">, </w:t>
      </w:r>
      <w:proofErr w:type="spellStart"/>
      <w:r w:rsidRPr="002C2D6C">
        <w:rPr>
          <w:rFonts w:asciiTheme="majorHAnsi" w:hAnsiTheme="majorHAnsi" w:cstheme="majorHAnsi"/>
          <w:lang w:val="en-US"/>
        </w:rPr>
        <w:t>Universidade</w:t>
      </w:r>
      <w:proofErr w:type="spellEnd"/>
      <w:r w:rsidRPr="002C2D6C">
        <w:rPr>
          <w:rFonts w:asciiTheme="majorHAnsi" w:hAnsiTheme="majorHAnsi" w:cstheme="majorHAnsi"/>
          <w:lang w:val="en-US"/>
        </w:rPr>
        <w:t xml:space="preserve"> de São Paulo), which has already included 93 participants. Partial analysis of results (not yet open) identified 22 deaths in total (risk of death=23%). Literature data estimate a mortality of up to 55% in patients with moderate to severe traumatic brain injury, depending on intracranial pressure [</w:t>
      </w:r>
      <w:proofErr w:type="spellStart"/>
      <w:r w:rsidRPr="002C2D6C">
        <w:rPr>
          <w:rFonts w:asciiTheme="majorHAnsi" w:hAnsiTheme="majorHAnsi" w:cstheme="majorHAnsi"/>
          <w:lang w:val="en-US"/>
        </w:rPr>
        <w:t>Teggiari</w:t>
      </w:r>
      <w:proofErr w:type="spellEnd"/>
      <w:r w:rsidRPr="002C2D6C">
        <w:rPr>
          <w:rFonts w:asciiTheme="majorHAnsi" w:hAnsiTheme="majorHAnsi" w:cstheme="majorHAnsi"/>
          <w:lang w:val="en-US"/>
        </w:rPr>
        <w:t xml:space="preserve"> 2007].</w:t>
      </w:r>
    </w:p>
    <w:p w14:paraId="2B40CE69" w14:textId="2E99E309" w:rsidR="002C2D6C" w:rsidRPr="002C2D6C" w:rsidRDefault="002C2D6C" w:rsidP="00604E11">
      <w:pPr>
        <w:spacing w:before="240" w:after="240" w:line="360" w:lineRule="auto"/>
        <w:ind w:firstLine="720"/>
        <w:jc w:val="both"/>
        <w:rPr>
          <w:rFonts w:asciiTheme="majorHAnsi" w:hAnsiTheme="majorHAnsi" w:cstheme="majorHAnsi"/>
          <w:i/>
          <w:lang w:val="en-US"/>
        </w:rPr>
      </w:pPr>
      <w:r w:rsidRPr="002C2D6C">
        <w:rPr>
          <w:rFonts w:asciiTheme="majorHAnsi" w:hAnsiTheme="majorHAnsi" w:cstheme="majorHAnsi"/>
          <w:i/>
          <w:lang w:val="en-US"/>
        </w:rPr>
        <w:t>Placebo group</w:t>
      </w:r>
    </w:p>
    <w:p w14:paraId="12F052BE" w14:textId="77777777" w:rsidR="002C2D6C" w:rsidRDefault="002C2D6C" w:rsidP="002C2D6C">
      <w:pPr>
        <w:spacing w:before="240" w:after="240" w:line="360" w:lineRule="auto"/>
        <w:ind w:firstLine="720"/>
        <w:jc w:val="both"/>
        <w:rPr>
          <w:rFonts w:asciiTheme="majorHAnsi" w:hAnsiTheme="majorHAnsi" w:cstheme="majorHAnsi"/>
          <w:lang w:val="en-US"/>
        </w:rPr>
      </w:pPr>
      <w:r w:rsidRPr="002C2D6C">
        <w:rPr>
          <w:rFonts w:asciiTheme="majorHAnsi" w:hAnsiTheme="majorHAnsi" w:cstheme="majorHAnsi"/>
          <w:lang w:val="en-US"/>
        </w:rPr>
        <w:t>Within 12 hours after TBI, participants in the placebo group will receive 1 mL of the same excipient used in the production of the active drug, which will be diluted in 10 mL of 0.9% saline and slowly applied intravenously. The treatment will be repeated every 6 hours for 10 consecutive days. In case of hospital discharge within a period of less than 10 days, making it impossible to complete the protocol in the hospital environment, the participant may be included in the study analysis (by intention to treat) if they have used 30 doses or more of Biperiden. If the participant has not reached these 30 minimum doses, a protocol deviation notification will be made.</w:t>
      </w:r>
    </w:p>
    <w:p w14:paraId="1C4FF0BD" w14:textId="6151B18C" w:rsidR="002C2D6C" w:rsidRPr="002C2D6C" w:rsidRDefault="002C2D6C" w:rsidP="00604E11">
      <w:pPr>
        <w:spacing w:before="240" w:after="240" w:line="360" w:lineRule="auto"/>
        <w:ind w:firstLine="720"/>
        <w:jc w:val="both"/>
        <w:rPr>
          <w:rFonts w:asciiTheme="majorHAnsi" w:hAnsiTheme="majorHAnsi" w:cstheme="majorHAnsi"/>
          <w:i/>
          <w:lang w:val="en-US"/>
        </w:rPr>
      </w:pPr>
      <w:r w:rsidRPr="002C2D6C">
        <w:rPr>
          <w:rFonts w:asciiTheme="majorHAnsi" w:hAnsiTheme="majorHAnsi" w:cstheme="majorHAnsi"/>
          <w:i/>
          <w:lang w:val="en-US"/>
        </w:rPr>
        <w:t>Co-interventions</w:t>
      </w:r>
    </w:p>
    <w:p w14:paraId="02FEA657" w14:textId="77777777" w:rsidR="002C2D6C" w:rsidRDefault="002C2D6C">
      <w:pPr>
        <w:spacing w:before="240" w:after="240" w:line="360" w:lineRule="auto"/>
        <w:jc w:val="both"/>
        <w:rPr>
          <w:rFonts w:asciiTheme="majorHAnsi" w:hAnsiTheme="majorHAnsi" w:cstheme="majorHAnsi"/>
          <w:lang w:val="en-US"/>
        </w:rPr>
      </w:pPr>
      <w:r w:rsidRPr="002C2D6C">
        <w:rPr>
          <w:rFonts w:asciiTheme="majorHAnsi" w:hAnsiTheme="majorHAnsi" w:cstheme="majorHAnsi"/>
          <w:lang w:val="en-US"/>
        </w:rPr>
        <w:t>Conventional supportive treatment for TBI management received by participants will follow the protocol of the participating hospital, however, it will be recommended by the coordinating center that hospitals follow the Ministry of Health guidelines for the treatment of TBI [MS 2015]. It will also be asked in the feasibility questionnaire if the hospital makes use of these guidelines and the material published by the MS will be forwarded to the research teams of the participating centers. As the generation of the allocation sequence (described in detail below) will be central and stratified by participating center, by the precepts of this type of randomization, it is expected that the differences in the co-interventions will be distributed in a similar way between the two groups, allowing that any effect observed whether due to the use or not of biperiden.</w:t>
      </w:r>
    </w:p>
    <w:p w14:paraId="7064FA9E" w14:textId="77777777" w:rsidR="002C2D6C" w:rsidRPr="002C2D6C" w:rsidRDefault="002C2D6C" w:rsidP="002C2D6C">
      <w:pPr>
        <w:spacing w:before="240" w:after="240" w:line="360" w:lineRule="auto"/>
        <w:jc w:val="both"/>
        <w:rPr>
          <w:rFonts w:asciiTheme="majorHAnsi" w:hAnsiTheme="majorHAnsi" w:cstheme="majorHAnsi"/>
          <w:b/>
          <w:lang w:val="en-US"/>
        </w:rPr>
      </w:pPr>
      <w:r w:rsidRPr="002C2D6C">
        <w:rPr>
          <w:rFonts w:asciiTheme="majorHAnsi" w:hAnsiTheme="majorHAnsi" w:cstheme="majorHAnsi"/>
          <w:b/>
          <w:lang w:val="en-US"/>
        </w:rPr>
        <w:t>Methods to ensure masking</w:t>
      </w:r>
    </w:p>
    <w:p w14:paraId="54D111E6" w14:textId="77777777" w:rsidR="002C2D6C" w:rsidRPr="002C2D6C" w:rsidRDefault="002C2D6C" w:rsidP="002C2D6C">
      <w:pPr>
        <w:spacing w:line="360" w:lineRule="auto"/>
        <w:ind w:firstLine="720"/>
        <w:jc w:val="both"/>
        <w:rPr>
          <w:rFonts w:asciiTheme="majorHAnsi" w:hAnsiTheme="majorHAnsi" w:cstheme="majorHAnsi"/>
          <w:lang w:val="en-US"/>
        </w:rPr>
      </w:pPr>
      <w:r w:rsidRPr="002C2D6C">
        <w:rPr>
          <w:rFonts w:asciiTheme="majorHAnsi" w:hAnsiTheme="majorHAnsi" w:cstheme="majorHAnsi"/>
          <w:lang w:val="en-US"/>
        </w:rPr>
        <w:lastRenderedPageBreak/>
        <w:t>The study will be double-blind, which implies the use of appropriate methods to keep everyone involved in the study (participants, team responsible for administering the intervention, outcome assessors and statisticians) unaware of each participant's allocation group.</w:t>
      </w:r>
    </w:p>
    <w:p w14:paraId="5A488D98" w14:textId="55332BCF" w:rsidR="00A636C3" w:rsidRDefault="002C2D6C" w:rsidP="002C2D6C">
      <w:pPr>
        <w:spacing w:line="360" w:lineRule="auto"/>
        <w:ind w:firstLine="720"/>
        <w:jc w:val="both"/>
        <w:rPr>
          <w:rFonts w:asciiTheme="majorHAnsi" w:hAnsiTheme="majorHAnsi" w:cstheme="majorHAnsi"/>
          <w:lang w:val="en-US"/>
        </w:rPr>
      </w:pPr>
      <w:r w:rsidRPr="002C2D6C">
        <w:rPr>
          <w:rFonts w:asciiTheme="majorHAnsi" w:hAnsiTheme="majorHAnsi" w:cstheme="majorHAnsi"/>
          <w:lang w:val="en-US"/>
        </w:rPr>
        <w:t>To this end, biperiden and placebo must have the same physical appearance (color, odor, shape) and will be packaged in identical vials, as will the saline vials used for dilution.</w:t>
      </w:r>
    </w:p>
    <w:p w14:paraId="272494AB" w14:textId="77777777" w:rsidR="002C2D6C" w:rsidRPr="002C2D6C" w:rsidRDefault="002C2D6C" w:rsidP="002C2D6C">
      <w:pPr>
        <w:spacing w:line="360" w:lineRule="auto"/>
        <w:ind w:firstLine="720"/>
        <w:jc w:val="both"/>
        <w:rPr>
          <w:rFonts w:asciiTheme="majorHAnsi" w:hAnsiTheme="majorHAnsi" w:cstheme="majorHAnsi"/>
          <w:lang w:val="en-US"/>
        </w:rPr>
      </w:pPr>
    </w:p>
    <w:p w14:paraId="043CC671" w14:textId="77777777" w:rsidR="002C2D6C" w:rsidRPr="002C2D6C" w:rsidRDefault="002C2D6C" w:rsidP="002C2D6C">
      <w:pPr>
        <w:spacing w:before="240" w:after="240" w:line="360" w:lineRule="auto"/>
        <w:jc w:val="both"/>
        <w:rPr>
          <w:rFonts w:asciiTheme="majorHAnsi" w:hAnsiTheme="majorHAnsi" w:cstheme="majorHAnsi"/>
          <w:b/>
          <w:lang w:val="en-US"/>
        </w:rPr>
      </w:pPr>
      <w:r w:rsidRPr="002C2D6C">
        <w:rPr>
          <w:rFonts w:asciiTheme="majorHAnsi" w:hAnsiTheme="majorHAnsi" w:cstheme="majorHAnsi"/>
          <w:b/>
          <w:lang w:val="en-US"/>
        </w:rPr>
        <w:t>Allocation sequence generation method</w:t>
      </w:r>
    </w:p>
    <w:p w14:paraId="6FD92086" w14:textId="77777777" w:rsidR="002C2D6C" w:rsidRPr="002C2D6C" w:rsidRDefault="002C2D6C" w:rsidP="002C2D6C">
      <w:pPr>
        <w:spacing w:line="360" w:lineRule="auto"/>
        <w:jc w:val="both"/>
        <w:rPr>
          <w:rFonts w:asciiTheme="majorHAnsi" w:hAnsiTheme="majorHAnsi" w:cstheme="majorHAnsi"/>
          <w:iCs/>
          <w:lang w:val="en-US"/>
        </w:rPr>
      </w:pPr>
      <w:r w:rsidRPr="002C2D6C">
        <w:rPr>
          <w:rFonts w:asciiTheme="majorHAnsi" w:hAnsiTheme="majorHAnsi" w:cstheme="majorHAnsi"/>
          <w:iCs/>
          <w:lang w:val="en-US"/>
        </w:rPr>
        <w:t>Method: Participants will be randomized by a randomization center, which will be the coordinating center (HSL), to receive one of two interventions: biperiden or placebo. Randomization will be performed through an online randomization program (www.random.org or www.randomizer.org), with generation of a table of random numbers. Each number in this randomization table will correspond to one of the two interventions.</w:t>
      </w:r>
    </w:p>
    <w:p w14:paraId="77C19E07" w14:textId="77777777" w:rsidR="002C2D6C" w:rsidRPr="002C2D6C" w:rsidRDefault="002C2D6C" w:rsidP="002C2D6C">
      <w:pPr>
        <w:spacing w:line="360" w:lineRule="auto"/>
        <w:jc w:val="both"/>
        <w:rPr>
          <w:rFonts w:asciiTheme="majorHAnsi" w:hAnsiTheme="majorHAnsi" w:cstheme="majorHAnsi"/>
          <w:iCs/>
          <w:lang w:val="en-US"/>
        </w:rPr>
      </w:pPr>
      <w:r w:rsidRPr="002C2D6C">
        <w:rPr>
          <w:rFonts w:asciiTheme="majorHAnsi" w:hAnsiTheme="majorHAnsi" w:cstheme="majorHAnsi"/>
          <w:iCs/>
          <w:lang w:val="en-US"/>
        </w:rPr>
        <w:t>Type: stratified randomization considering TBI severity (moderate or severe) and participating center.</w:t>
      </w:r>
    </w:p>
    <w:p w14:paraId="59D85B5E" w14:textId="77777777" w:rsidR="002C2D6C" w:rsidRPr="002C2D6C" w:rsidRDefault="002C2D6C" w:rsidP="002C2D6C">
      <w:pPr>
        <w:spacing w:line="360" w:lineRule="auto"/>
        <w:jc w:val="both"/>
        <w:rPr>
          <w:rFonts w:asciiTheme="majorHAnsi" w:hAnsiTheme="majorHAnsi" w:cstheme="majorHAnsi"/>
          <w:iCs/>
          <w:lang w:val="en-US"/>
        </w:rPr>
      </w:pPr>
      <w:r w:rsidRPr="002C2D6C">
        <w:rPr>
          <w:rFonts w:asciiTheme="majorHAnsi" w:hAnsiTheme="majorHAnsi" w:cstheme="majorHAnsi"/>
          <w:iCs/>
          <w:lang w:val="en-US"/>
        </w:rPr>
        <w:t>Ratio: The assumed randomization ratio will be 1:1.</w:t>
      </w:r>
    </w:p>
    <w:p w14:paraId="21BE5BF6" w14:textId="77777777" w:rsidR="002C2D6C" w:rsidRPr="002C2D6C" w:rsidRDefault="002C2D6C" w:rsidP="002C2D6C">
      <w:pPr>
        <w:spacing w:line="360" w:lineRule="auto"/>
        <w:jc w:val="both"/>
        <w:rPr>
          <w:rFonts w:asciiTheme="majorHAnsi" w:hAnsiTheme="majorHAnsi" w:cstheme="majorHAnsi"/>
          <w:iCs/>
          <w:lang w:val="pt-BR"/>
        </w:rPr>
      </w:pPr>
      <w:r w:rsidRPr="002C2D6C">
        <w:rPr>
          <w:rFonts w:asciiTheme="majorHAnsi" w:hAnsiTheme="majorHAnsi" w:cstheme="majorHAnsi"/>
          <w:iCs/>
          <w:lang w:val="pt-BR"/>
        </w:rPr>
        <w:t>Unit: the assumed randomization unit will be the participant.</w:t>
      </w:r>
    </w:p>
    <w:p w14:paraId="45D3C063" w14:textId="77777777" w:rsidR="002C2D6C" w:rsidRDefault="002C2D6C" w:rsidP="002C2D6C">
      <w:pPr>
        <w:spacing w:line="360" w:lineRule="auto"/>
        <w:jc w:val="both"/>
        <w:rPr>
          <w:rFonts w:asciiTheme="majorHAnsi" w:hAnsiTheme="majorHAnsi" w:cstheme="majorHAnsi"/>
          <w:i/>
          <w:lang w:val="pt-BR"/>
        </w:rPr>
      </w:pPr>
    </w:p>
    <w:p w14:paraId="068FC8FA" w14:textId="77777777" w:rsidR="002C2D6C" w:rsidRPr="002C2D6C" w:rsidRDefault="002C2D6C" w:rsidP="002C2D6C">
      <w:pPr>
        <w:spacing w:before="240" w:after="240" w:line="360" w:lineRule="auto"/>
        <w:jc w:val="both"/>
        <w:rPr>
          <w:rFonts w:asciiTheme="majorHAnsi" w:hAnsiTheme="majorHAnsi" w:cstheme="majorHAnsi"/>
          <w:b/>
          <w:lang w:val="en-US"/>
        </w:rPr>
      </w:pPr>
      <w:r w:rsidRPr="002C2D6C">
        <w:rPr>
          <w:rFonts w:asciiTheme="majorHAnsi" w:hAnsiTheme="majorHAnsi" w:cstheme="majorHAnsi"/>
          <w:b/>
          <w:lang w:val="en-US"/>
        </w:rPr>
        <w:t>Method for maintaining allocation secrecy</w:t>
      </w:r>
    </w:p>
    <w:p w14:paraId="5E884F94" w14:textId="77777777" w:rsidR="002C2D6C" w:rsidRPr="002C2D6C" w:rsidRDefault="002C2D6C" w:rsidP="002C2D6C">
      <w:pPr>
        <w:spacing w:before="240" w:after="240" w:line="360" w:lineRule="auto"/>
        <w:ind w:firstLine="720"/>
        <w:jc w:val="both"/>
        <w:rPr>
          <w:rFonts w:asciiTheme="majorHAnsi" w:hAnsiTheme="majorHAnsi" w:cstheme="majorHAnsi"/>
          <w:lang w:val="en-US"/>
        </w:rPr>
      </w:pPr>
      <w:r w:rsidRPr="002C2D6C">
        <w:rPr>
          <w:rFonts w:asciiTheme="majorHAnsi" w:hAnsiTheme="majorHAnsi" w:cstheme="majorHAnsi"/>
          <w:lang w:val="en-US"/>
        </w:rPr>
        <w:t>The randomization table will be kept completely confidential by the randomization center. The record of this medication will only be accessed by the methods team of the research coordinating center (HSL), which will not have access to study participants.</w:t>
      </w:r>
    </w:p>
    <w:p w14:paraId="2E61D535" w14:textId="77777777" w:rsidR="002C2D6C" w:rsidRPr="002C2D6C" w:rsidRDefault="002C2D6C" w:rsidP="002C2D6C">
      <w:pPr>
        <w:spacing w:before="240" w:after="240" w:line="360" w:lineRule="auto"/>
        <w:ind w:firstLine="720"/>
        <w:jc w:val="both"/>
        <w:rPr>
          <w:rFonts w:asciiTheme="majorHAnsi" w:hAnsiTheme="majorHAnsi" w:cstheme="majorHAnsi"/>
          <w:lang w:val="en-US"/>
        </w:rPr>
      </w:pPr>
      <w:r w:rsidRPr="002C2D6C">
        <w:rPr>
          <w:rFonts w:asciiTheme="majorHAnsi" w:hAnsiTheme="majorHAnsi" w:cstheme="majorHAnsi"/>
          <w:lang w:val="en-US"/>
        </w:rPr>
        <w:t>The randomization center will make each random number available via a digital platform to which the participating center will have available access.</w:t>
      </w:r>
    </w:p>
    <w:p w14:paraId="7A3D1011" w14:textId="77777777" w:rsidR="002C2D6C" w:rsidRPr="002C2D6C" w:rsidRDefault="002C2D6C" w:rsidP="002C2D6C">
      <w:pPr>
        <w:spacing w:before="240" w:after="240" w:line="360" w:lineRule="auto"/>
        <w:ind w:firstLine="720"/>
        <w:jc w:val="both"/>
        <w:rPr>
          <w:rFonts w:asciiTheme="majorHAnsi" w:hAnsiTheme="majorHAnsi" w:cstheme="majorHAnsi"/>
          <w:lang w:val="en-US"/>
        </w:rPr>
      </w:pPr>
      <w:r w:rsidRPr="002C2D6C">
        <w:rPr>
          <w:rFonts w:asciiTheme="majorHAnsi" w:hAnsiTheme="majorHAnsi" w:cstheme="majorHAnsi"/>
          <w:lang w:val="en-US"/>
        </w:rPr>
        <w:t xml:space="preserve">Once a participant fulfills the eligibility criteria and is included in the study, a member of the team from the delegated coordinating center will access the digital platform and will have access to the bottle number of the drug to be administered. The numerical sequence must be strictly </w:t>
      </w:r>
      <w:proofErr w:type="gramStart"/>
      <w:r w:rsidRPr="002C2D6C">
        <w:rPr>
          <w:rFonts w:asciiTheme="majorHAnsi" w:hAnsiTheme="majorHAnsi" w:cstheme="majorHAnsi"/>
          <w:lang w:val="en-US"/>
        </w:rPr>
        <w:t>followed</w:t>
      </w:r>
      <w:proofErr w:type="gramEnd"/>
      <w:r w:rsidRPr="002C2D6C">
        <w:rPr>
          <w:rFonts w:asciiTheme="majorHAnsi" w:hAnsiTheme="majorHAnsi" w:cstheme="majorHAnsi"/>
          <w:lang w:val="en-US"/>
        </w:rPr>
        <w:t xml:space="preserve"> and this process will be verified in the monitoring visits. The digital platform should only be accessed immediately before the patient receives the first dose of the intervention.</w:t>
      </w:r>
    </w:p>
    <w:p w14:paraId="139E56C3" w14:textId="77777777" w:rsidR="002C2D6C" w:rsidRPr="002C2D6C" w:rsidRDefault="002C2D6C" w:rsidP="002C2D6C">
      <w:pPr>
        <w:spacing w:before="240" w:after="240" w:line="360" w:lineRule="auto"/>
        <w:ind w:firstLine="720"/>
        <w:jc w:val="both"/>
        <w:rPr>
          <w:rFonts w:asciiTheme="majorHAnsi" w:hAnsiTheme="majorHAnsi" w:cstheme="majorHAnsi"/>
          <w:lang w:val="en-US"/>
        </w:rPr>
      </w:pPr>
      <w:r w:rsidRPr="002C2D6C">
        <w:rPr>
          <w:rFonts w:asciiTheme="majorHAnsi" w:hAnsiTheme="majorHAnsi" w:cstheme="majorHAnsi"/>
          <w:lang w:val="en-US"/>
        </w:rPr>
        <w:lastRenderedPageBreak/>
        <w:t>The delegated coordinating center staff member will communicate with the local pharmacy to tell them the vial number to be dispensed. The local pharmacy will deliver the ampoules identified with the random numbers from the digital platform to the nurse. Both will not know the contents of the vial.</w:t>
      </w:r>
    </w:p>
    <w:p w14:paraId="5ABAB1D1" w14:textId="3C73309C" w:rsidR="00A91D07" w:rsidRPr="002C2D6C" w:rsidRDefault="002C2D6C" w:rsidP="002C2D6C">
      <w:pPr>
        <w:spacing w:before="240" w:after="240" w:line="360" w:lineRule="auto"/>
        <w:ind w:firstLine="720"/>
        <w:jc w:val="both"/>
        <w:rPr>
          <w:rFonts w:asciiTheme="majorHAnsi" w:hAnsiTheme="majorHAnsi" w:cstheme="majorHAnsi"/>
          <w:lang w:val="en-US"/>
        </w:rPr>
      </w:pPr>
      <w:r w:rsidRPr="002C2D6C">
        <w:rPr>
          <w:rFonts w:asciiTheme="majorHAnsi" w:hAnsiTheme="majorHAnsi" w:cstheme="majorHAnsi"/>
          <w:lang w:val="en-US"/>
        </w:rPr>
        <w:t>The nurse will administer the intervention to the patient as detailed in the protocol.</w:t>
      </w:r>
    </w:p>
    <w:p w14:paraId="26921B02" w14:textId="5D1A980D" w:rsidR="00A636C3" w:rsidRPr="00412E44" w:rsidRDefault="002C2D6C">
      <w:pPr>
        <w:spacing w:line="360" w:lineRule="auto"/>
        <w:jc w:val="both"/>
        <w:rPr>
          <w:rFonts w:asciiTheme="majorHAnsi" w:hAnsiTheme="majorHAnsi" w:cstheme="majorHAnsi"/>
          <w:b/>
        </w:rPr>
      </w:pPr>
      <w:r>
        <w:rPr>
          <w:rFonts w:asciiTheme="majorHAnsi" w:hAnsiTheme="majorHAnsi" w:cstheme="majorHAnsi"/>
          <w:b/>
        </w:rPr>
        <w:t>Outcomes</w:t>
      </w:r>
    </w:p>
    <w:p w14:paraId="17E0AF00" w14:textId="77777777" w:rsidR="00E805EC" w:rsidRPr="00412E44" w:rsidRDefault="00E805EC">
      <w:pPr>
        <w:spacing w:line="360" w:lineRule="auto"/>
        <w:jc w:val="both"/>
        <w:rPr>
          <w:rFonts w:asciiTheme="majorHAnsi" w:hAnsiTheme="majorHAnsi" w:cstheme="majorHAnsi"/>
          <w:b/>
        </w:rPr>
      </w:pPr>
    </w:p>
    <w:p w14:paraId="4E22D9FE" w14:textId="6922CEC6" w:rsidR="00A636C3" w:rsidRPr="00412E44" w:rsidRDefault="002C2D6C" w:rsidP="422F24A5">
      <w:pPr>
        <w:spacing w:line="360" w:lineRule="auto"/>
        <w:rPr>
          <w:rFonts w:asciiTheme="majorHAnsi" w:hAnsiTheme="majorHAnsi" w:cstheme="majorBidi"/>
        </w:rPr>
      </w:pPr>
      <w:r>
        <w:rPr>
          <w:rFonts w:asciiTheme="majorHAnsi" w:hAnsiTheme="majorHAnsi" w:cstheme="majorBidi"/>
        </w:rPr>
        <w:t>Primary outcomes</w:t>
      </w:r>
    </w:p>
    <w:p w14:paraId="1FC0E551" w14:textId="7E68942F" w:rsidR="008C298E" w:rsidRPr="00412E44" w:rsidRDefault="002C2D6C">
      <w:pPr>
        <w:spacing w:line="360" w:lineRule="auto"/>
        <w:jc w:val="both"/>
        <w:rPr>
          <w:rFonts w:asciiTheme="majorHAnsi" w:hAnsiTheme="majorHAnsi" w:cstheme="majorHAnsi"/>
          <w:i/>
        </w:rPr>
      </w:pPr>
      <w:r>
        <w:rPr>
          <w:rFonts w:asciiTheme="majorHAnsi" w:hAnsiTheme="majorHAnsi" w:cstheme="majorHAnsi"/>
          <w:i/>
        </w:rPr>
        <w:t>Efficacy</w:t>
      </w:r>
      <w:r w:rsidR="008C298E" w:rsidRPr="00412E44">
        <w:rPr>
          <w:rFonts w:asciiTheme="majorHAnsi" w:hAnsiTheme="majorHAnsi" w:cstheme="majorHAnsi"/>
          <w:i/>
        </w:rPr>
        <w:t>:</w:t>
      </w:r>
    </w:p>
    <w:p w14:paraId="33F34BFF" w14:textId="2B61B7FC" w:rsidR="002C2D6C" w:rsidRPr="002C2D6C" w:rsidRDefault="002C2D6C" w:rsidP="008C298E">
      <w:pPr>
        <w:spacing w:after="200" w:line="360" w:lineRule="auto"/>
        <w:jc w:val="both"/>
        <w:rPr>
          <w:rFonts w:asciiTheme="majorHAnsi" w:hAnsiTheme="majorHAnsi" w:cstheme="majorHAnsi"/>
          <w:iCs/>
        </w:rPr>
      </w:pPr>
      <w:r w:rsidRPr="002C2D6C">
        <w:rPr>
          <w:rFonts w:asciiTheme="majorHAnsi" w:hAnsiTheme="majorHAnsi" w:cstheme="majorHAnsi"/>
          <w:iCs/>
        </w:rPr>
        <w:t>● Post-traumatic epilepsy: assessed by the proportion of participants who developed PTS in the period between seven days and 24 months after TBI. The presence of TPE must be confirmed clinically. EPT will be defined as the occurrence of at least two unprovoked seizures occurring more than seven days post TBI [Verellen 2010].</w:t>
      </w:r>
    </w:p>
    <w:p w14:paraId="098408F7" w14:textId="6F3838DB" w:rsidR="008C298E" w:rsidRPr="00412E44" w:rsidRDefault="002C2D6C" w:rsidP="008C298E">
      <w:pPr>
        <w:spacing w:after="200" w:line="360" w:lineRule="auto"/>
        <w:jc w:val="both"/>
        <w:rPr>
          <w:rFonts w:asciiTheme="majorHAnsi" w:hAnsiTheme="majorHAnsi" w:cstheme="majorHAnsi"/>
          <w:i/>
        </w:rPr>
      </w:pPr>
      <w:r>
        <w:rPr>
          <w:rFonts w:asciiTheme="majorHAnsi" w:hAnsiTheme="majorHAnsi" w:cstheme="majorHAnsi"/>
          <w:i/>
        </w:rPr>
        <w:t>Safety</w:t>
      </w:r>
      <w:r w:rsidR="008C298E" w:rsidRPr="00412E44">
        <w:rPr>
          <w:rFonts w:asciiTheme="majorHAnsi" w:hAnsiTheme="majorHAnsi" w:cstheme="majorHAnsi"/>
          <w:i/>
        </w:rPr>
        <w:t>:</w:t>
      </w:r>
    </w:p>
    <w:p w14:paraId="1A82E8C4" w14:textId="0FF70E06" w:rsidR="003B7305" w:rsidRDefault="002C2D6C" w:rsidP="003B7305">
      <w:pPr>
        <w:spacing w:line="360" w:lineRule="auto"/>
        <w:ind w:left="720"/>
        <w:jc w:val="both"/>
        <w:rPr>
          <w:rFonts w:asciiTheme="majorHAnsi" w:hAnsiTheme="majorHAnsi" w:cstheme="majorHAnsi"/>
          <w:lang w:val="en-US"/>
        </w:rPr>
      </w:pPr>
      <w:r w:rsidRPr="002C2D6C">
        <w:rPr>
          <w:rFonts w:asciiTheme="majorHAnsi" w:hAnsiTheme="majorHAnsi" w:cstheme="majorHAnsi"/>
          <w:lang w:val="en-US"/>
        </w:rPr>
        <w:t>● Serious adverse events: proportion of participants who experienced at least one serious adverse event during 24 months after enrollment in the study. Events considered serious are defined as those that result in death, threaten life, require hospitalization or prolongation of existing hospitalization, result in disability (persistent or significant disability), or congenital anomalies (birth defects), suspected transmission of the agent. infectious through medication [</w:t>
      </w:r>
      <w:proofErr w:type="spellStart"/>
      <w:r w:rsidRPr="002C2D6C">
        <w:rPr>
          <w:rFonts w:asciiTheme="majorHAnsi" w:hAnsiTheme="majorHAnsi" w:cstheme="majorHAnsi"/>
          <w:lang w:val="en-US"/>
        </w:rPr>
        <w:t>Anvisa</w:t>
      </w:r>
      <w:proofErr w:type="spellEnd"/>
      <w:r w:rsidRPr="002C2D6C">
        <w:rPr>
          <w:rFonts w:asciiTheme="majorHAnsi" w:hAnsiTheme="majorHAnsi" w:cstheme="majorHAnsi"/>
          <w:lang w:val="en-US"/>
        </w:rPr>
        <w:t xml:space="preserve"> 2016]. The information regarding the occurrence of this outcome will be compiled in the individual standardized form of each participant, which will be filled in by the research team throughout the project, based on direct active interrogation of the participants </w:t>
      </w:r>
      <w:proofErr w:type="gramStart"/>
      <w:r w:rsidRPr="002C2D6C">
        <w:rPr>
          <w:rFonts w:asciiTheme="majorHAnsi" w:hAnsiTheme="majorHAnsi" w:cstheme="majorHAnsi"/>
          <w:lang w:val="en-US"/>
        </w:rPr>
        <w:t>and also</w:t>
      </w:r>
      <w:proofErr w:type="gramEnd"/>
      <w:r w:rsidRPr="002C2D6C">
        <w:rPr>
          <w:rFonts w:asciiTheme="majorHAnsi" w:hAnsiTheme="majorHAnsi" w:cstheme="majorHAnsi"/>
          <w:lang w:val="en-US"/>
        </w:rPr>
        <w:t xml:space="preserve"> from their spontaneous reports.</w:t>
      </w:r>
    </w:p>
    <w:p w14:paraId="13E1BA99" w14:textId="77777777" w:rsidR="002C2D6C" w:rsidRPr="002C2D6C" w:rsidRDefault="002C2D6C" w:rsidP="003B7305">
      <w:pPr>
        <w:spacing w:line="360" w:lineRule="auto"/>
        <w:ind w:left="720"/>
        <w:jc w:val="both"/>
        <w:rPr>
          <w:rFonts w:asciiTheme="majorHAnsi" w:hAnsiTheme="majorHAnsi" w:cstheme="majorHAnsi"/>
          <w:lang w:val="en-US"/>
        </w:rPr>
      </w:pPr>
    </w:p>
    <w:p w14:paraId="0716894A" w14:textId="7CF991A3" w:rsidR="00A636C3" w:rsidRPr="00412E44" w:rsidRDefault="002C2D6C">
      <w:pPr>
        <w:spacing w:line="360" w:lineRule="auto"/>
        <w:jc w:val="both"/>
        <w:rPr>
          <w:rFonts w:asciiTheme="majorHAnsi" w:hAnsiTheme="majorHAnsi" w:cstheme="majorHAnsi"/>
        </w:rPr>
      </w:pPr>
      <w:r>
        <w:rPr>
          <w:rFonts w:asciiTheme="majorHAnsi" w:hAnsiTheme="majorHAnsi" w:cstheme="majorHAnsi"/>
        </w:rPr>
        <w:t>Secondary</w:t>
      </w:r>
    </w:p>
    <w:p w14:paraId="2A498B38" w14:textId="49A7AC7F" w:rsidR="008C298E" w:rsidRPr="00412E44" w:rsidRDefault="002C2D6C">
      <w:pPr>
        <w:spacing w:line="360" w:lineRule="auto"/>
        <w:jc w:val="both"/>
        <w:rPr>
          <w:rFonts w:asciiTheme="majorHAnsi" w:hAnsiTheme="majorHAnsi" w:cstheme="majorHAnsi"/>
          <w:i/>
        </w:rPr>
      </w:pPr>
      <w:r>
        <w:rPr>
          <w:rFonts w:asciiTheme="majorHAnsi" w:hAnsiTheme="majorHAnsi" w:cstheme="majorHAnsi"/>
          <w:i/>
        </w:rPr>
        <w:t>Efficacy</w:t>
      </w:r>
      <w:r w:rsidR="008C298E" w:rsidRPr="00412E44">
        <w:rPr>
          <w:rFonts w:asciiTheme="majorHAnsi" w:hAnsiTheme="majorHAnsi" w:cstheme="majorHAnsi"/>
          <w:i/>
        </w:rPr>
        <w:t>:</w:t>
      </w:r>
    </w:p>
    <w:p w14:paraId="12531037" w14:textId="77777777" w:rsidR="008C298E" w:rsidRPr="00412E44" w:rsidRDefault="008C298E">
      <w:pPr>
        <w:spacing w:line="360" w:lineRule="auto"/>
        <w:jc w:val="both"/>
        <w:rPr>
          <w:rFonts w:asciiTheme="majorHAnsi" w:hAnsiTheme="majorHAnsi" w:cstheme="majorHAnsi"/>
        </w:rPr>
      </w:pPr>
    </w:p>
    <w:p w14:paraId="18CCE0A5"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Post-traumatic epilepsy: assessed by the proportion of participants who developed PTSD at the following time points: 1, 3, 6, 9, 12, and 18 months after study enrollment.</w:t>
      </w:r>
    </w:p>
    <w:p w14:paraId="06D2DDFB"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xml:space="preserve">● Quality of life: assessed by the </w:t>
      </w:r>
      <w:proofErr w:type="spellStart"/>
      <w:r w:rsidRPr="006E4E58">
        <w:rPr>
          <w:rFonts w:asciiTheme="majorHAnsi" w:hAnsiTheme="majorHAnsi" w:cstheme="majorHAnsi"/>
          <w:lang w:val="en-US"/>
        </w:rPr>
        <w:t>EuroQoL</w:t>
      </w:r>
      <w:proofErr w:type="spellEnd"/>
      <w:r w:rsidRPr="006E4E58">
        <w:rPr>
          <w:rFonts w:asciiTheme="majorHAnsi" w:hAnsiTheme="majorHAnsi" w:cstheme="majorHAnsi"/>
          <w:lang w:val="en-US"/>
        </w:rPr>
        <w:t xml:space="preserve"> 5D (EQ-5D) tool [</w:t>
      </w:r>
      <w:proofErr w:type="spellStart"/>
      <w:r w:rsidRPr="006E4E58">
        <w:rPr>
          <w:rFonts w:asciiTheme="majorHAnsi" w:hAnsiTheme="majorHAnsi" w:cstheme="majorHAnsi"/>
          <w:lang w:val="en-US"/>
        </w:rPr>
        <w:t>EuroQoL</w:t>
      </w:r>
      <w:proofErr w:type="spellEnd"/>
      <w:r w:rsidRPr="006E4E58">
        <w:rPr>
          <w:rFonts w:asciiTheme="majorHAnsi" w:hAnsiTheme="majorHAnsi" w:cstheme="majorHAnsi"/>
          <w:lang w:val="en-US"/>
        </w:rPr>
        <w:t xml:space="preserve"> Group 1990] at the following assessment times: 3, 6, 12, and 24 months after enrollment in the study. The EQ-5D is a validated </w:t>
      </w:r>
      <w:r w:rsidRPr="006E4E58">
        <w:rPr>
          <w:rFonts w:asciiTheme="majorHAnsi" w:hAnsiTheme="majorHAnsi" w:cstheme="majorHAnsi"/>
          <w:lang w:val="en-US"/>
        </w:rPr>
        <w:lastRenderedPageBreak/>
        <w:t>questionnaire, with a validated version in Portuguese, covering five health-related quality of life domains (mobility, usual care, usual activities, pain/discomfort, anxiety/depression).</w:t>
      </w:r>
    </w:p>
    <w:p w14:paraId="1AD293C9" w14:textId="2B0407D0" w:rsid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xml:space="preserve">● Neuropsychological function: tests will be applied that indicate the general measure of intelligence, attention, auditory-verbal and visual memory, working memory, visual-motor </w:t>
      </w:r>
      <w:proofErr w:type="gramStart"/>
      <w:r w:rsidRPr="006E4E58">
        <w:rPr>
          <w:rFonts w:asciiTheme="majorHAnsi" w:hAnsiTheme="majorHAnsi" w:cstheme="majorHAnsi"/>
          <w:lang w:val="en-US"/>
        </w:rPr>
        <w:t>dexterity</w:t>
      </w:r>
      <w:proofErr w:type="gramEnd"/>
      <w:r w:rsidRPr="006E4E58">
        <w:rPr>
          <w:rFonts w:asciiTheme="majorHAnsi" w:hAnsiTheme="majorHAnsi" w:cstheme="majorHAnsi"/>
          <w:lang w:val="en-US"/>
        </w:rPr>
        <w:t xml:space="preserve"> and cognitive flexibility. The following instruments will be applied 6 and 24 months after inclusion in the study:</w:t>
      </w:r>
    </w:p>
    <w:p w14:paraId="2F6D0E62"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Items from the Wechsler Intelligence Scale Battery - IV [</w:t>
      </w:r>
      <w:proofErr w:type="spellStart"/>
      <w:r w:rsidRPr="006E4E58">
        <w:rPr>
          <w:rFonts w:asciiTheme="majorHAnsi" w:hAnsiTheme="majorHAnsi" w:cstheme="majorHAnsi"/>
          <w:lang w:val="en-US"/>
        </w:rPr>
        <w:t>Wechlsler</w:t>
      </w:r>
      <w:proofErr w:type="spellEnd"/>
      <w:r w:rsidRPr="006E4E58">
        <w:rPr>
          <w:rFonts w:asciiTheme="majorHAnsi" w:hAnsiTheme="majorHAnsi" w:cstheme="majorHAnsi"/>
          <w:lang w:val="en-US"/>
        </w:rPr>
        <w:t xml:space="preserve"> 2008]:</w:t>
      </w:r>
    </w:p>
    <w:p w14:paraId="05CD89F1"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Digits: The subject must orally repeat a series of numerical sequences presented in direct and reverse order. Evaluates immediate memory and working memory.</w:t>
      </w:r>
    </w:p>
    <w:p w14:paraId="393188D7"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Vocabulary: The meaning of each of the 33 words presented orally to the subject must be verbally explained. Assesses language development, word knowledge and long-term memory.</w:t>
      </w:r>
    </w:p>
    <w:p w14:paraId="3C5B72FA"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xml:space="preserve">○ Cubes: Reproduce, with two-dimensional and two-color cubes, the models presented as patterns. Assesses visual perception of abstract stimuli, spatial organization, planning, visual-motor coordination, </w:t>
      </w:r>
      <w:proofErr w:type="gramStart"/>
      <w:r w:rsidRPr="006E4E58">
        <w:rPr>
          <w:rFonts w:asciiTheme="majorHAnsi" w:hAnsiTheme="majorHAnsi" w:cstheme="majorHAnsi"/>
          <w:lang w:val="en-US"/>
        </w:rPr>
        <w:t>analysis</w:t>
      </w:r>
      <w:proofErr w:type="gramEnd"/>
      <w:r w:rsidRPr="006E4E58">
        <w:rPr>
          <w:rFonts w:asciiTheme="majorHAnsi" w:hAnsiTheme="majorHAnsi" w:cstheme="majorHAnsi"/>
          <w:lang w:val="en-US"/>
        </w:rPr>
        <w:t xml:space="preserve"> and synthesis.</w:t>
      </w:r>
    </w:p>
    <w:p w14:paraId="1B56B69E"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Digits and Symbols: the subject must fill in, under time pressure, a sheet containing symbols, associating them with digits according to a model presented. The application lasts approximately 60 minutes, which for the patient who has just left the hospital can be time consuming, but during the recovery period they become viable. A minimum interval of 6 months is required between applications so that there is no learning effect.</w:t>
      </w:r>
    </w:p>
    <w:p w14:paraId="68A87E0C"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Rey-</w:t>
      </w:r>
      <w:proofErr w:type="spellStart"/>
      <w:r w:rsidRPr="006E4E58">
        <w:rPr>
          <w:rFonts w:asciiTheme="majorHAnsi" w:hAnsiTheme="majorHAnsi" w:cstheme="majorHAnsi"/>
          <w:lang w:val="en-US"/>
        </w:rPr>
        <w:t>Osterrieth</w:t>
      </w:r>
      <w:proofErr w:type="spellEnd"/>
      <w:r w:rsidRPr="006E4E58">
        <w:rPr>
          <w:rFonts w:asciiTheme="majorHAnsi" w:hAnsiTheme="majorHAnsi" w:cstheme="majorHAnsi"/>
          <w:lang w:val="en-US"/>
        </w:rPr>
        <w:t xml:space="preserve"> complex figure: the subject is asked to copy a complex figure and, after 5 minutes and without the model, redraw it from memory. It allows assessing visuospatial organization skills, planning and strategy development, as well as memory [Oliveira 1999].</w:t>
      </w:r>
    </w:p>
    <w:p w14:paraId="22F88A79"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Rey's Auditory-Verbal Learning Test. The subject is asked to repeat a list of 15 words read aloud by the examiner. The procedure is repeated 5 times. After that, a second list (distractor stimulus) is introduced. Then the subject is asked to say the original list from memory. After 15 minutes, a new recall is requested [Rey 1941].</w:t>
      </w:r>
    </w:p>
    <w:p w14:paraId="33E4FDF4"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Five-Digit Test: investigates cognitive flexibility and inhibitory control. The subject is asked, alternately, to: (a) count the number of stimuli presented and (b) say the printed digits [</w:t>
      </w:r>
      <w:proofErr w:type="spellStart"/>
      <w:r w:rsidRPr="006E4E58">
        <w:rPr>
          <w:rFonts w:asciiTheme="majorHAnsi" w:hAnsiTheme="majorHAnsi" w:cstheme="majorHAnsi"/>
          <w:lang w:val="en-US"/>
        </w:rPr>
        <w:t>Sedo</w:t>
      </w:r>
      <w:proofErr w:type="spellEnd"/>
      <w:r w:rsidRPr="006E4E58">
        <w:rPr>
          <w:rFonts w:asciiTheme="majorHAnsi" w:hAnsiTheme="majorHAnsi" w:cstheme="majorHAnsi"/>
          <w:lang w:val="en-US"/>
        </w:rPr>
        <w:t xml:space="preserve"> 2005].</w:t>
      </w:r>
    </w:p>
    <w:p w14:paraId="72EF43BE" w14:textId="77777777" w:rsidR="006E4E58" w:rsidRPr="006E4E58" w:rsidRDefault="006E4E58" w:rsidP="006E4E58">
      <w:pPr>
        <w:spacing w:line="360" w:lineRule="auto"/>
        <w:ind w:firstLine="540"/>
        <w:jc w:val="both"/>
        <w:rPr>
          <w:rFonts w:asciiTheme="majorHAnsi" w:hAnsiTheme="majorHAnsi" w:cstheme="majorHAnsi"/>
          <w:lang w:val="en-US"/>
        </w:rPr>
      </w:pPr>
    </w:p>
    <w:p w14:paraId="6006C283" w14:textId="77777777"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t>● Electroencephalographic (EEG) pattern: assessed by tracings taken shortly after TBI at 1, 3, 6, 9, 12, 18 and 24 months.</w:t>
      </w:r>
    </w:p>
    <w:p w14:paraId="54AC8144" w14:textId="7E610A68" w:rsidR="006E4E58" w:rsidRPr="006E4E58" w:rsidRDefault="006E4E58" w:rsidP="006E4E58">
      <w:pPr>
        <w:spacing w:line="360" w:lineRule="auto"/>
        <w:ind w:firstLine="540"/>
        <w:jc w:val="both"/>
        <w:rPr>
          <w:rFonts w:asciiTheme="majorHAnsi" w:hAnsiTheme="majorHAnsi" w:cstheme="majorHAnsi"/>
          <w:lang w:val="en-US"/>
        </w:rPr>
      </w:pPr>
      <w:r w:rsidRPr="006E4E58">
        <w:rPr>
          <w:rFonts w:asciiTheme="majorHAnsi" w:hAnsiTheme="majorHAnsi" w:cstheme="majorHAnsi"/>
          <w:lang w:val="en-US"/>
        </w:rPr>
        <w:lastRenderedPageBreak/>
        <w:t xml:space="preserve">● </w:t>
      </w:r>
      <w:proofErr w:type="gramStart"/>
      <w:r w:rsidRPr="006E4E58">
        <w:rPr>
          <w:rFonts w:asciiTheme="majorHAnsi" w:hAnsiTheme="majorHAnsi" w:cstheme="majorHAnsi"/>
          <w:lang w:val="en-US"/>
        </w:rPr>
        <w:t>Apolipoprotein E (</w:t>
      </w:r>
      <w:proofErr w:type="spellStart"/>
      <w:r w:rsidRPr="006E4E58">
        <w:rPr>
          <w:rFonts w:asciiTheme="majorHAnsi" w:hAnsiTheme="majorHAnsi" w:cstheme="majorHAnsi"/>
          <w:lang w:val="en-US"/>
        </w:rPr>
        <w:t>ApoE</w:t>
      </w:r>
      <w:proofErr w:type="spellEnd"/>
      <w:r w:rsidRPr="006E4E58">
        <w:rPr>
          <w:rFonts w:asciiTheme="majorHAnsi" w:hAnsiTheme="majorHAnsi" w:cstheme="majorHAnsi"/>
          <w:lang w:val="en-US"/>
        </w:rPr>
        <w:t>) investigation,</w:t>
      </w:r>
      <w:proofErr w:type="gramEnd"/>
      <w:r w:rsidRPr="006E4E58">
        <w:rPr>
          <w:rFonts w:asciiTheme="majorHAnsi" w:hAnsiTheme="majorHAnsi" w:cstheme="majorHAnsi"/>
          <w:lang w:val="en-US"/>
        </w:rPr>
        <w:t xml:space="preserve"> considered an important prognostic factor for the development of post-traumatic neurological sequelae. The biological material for analysis will be collected by peripheral blood, at the time of hospital admission.</w:t>
      </w:r>
    </w:p>
    <w:p w14:paraId="55B82441" w14:textId="77777777" w:rsidR="006E4E58" w:rsidRDefault="006E4E58" w:rsidP="008C298E">
      <w:pPr>
        <w:spacing w:after="200" w:line="360" w:lineRule="auto"/>
        <w:jc w:val="both"/>
        <w:rPr>
          <w:rFonts w:asciiTheme="majorHAnsi" w:hAnsiTheme="majorHAnsi" w:cstheme="majorHAnsi"/>
          <w:i/>
        </w:rPr>
      </w:pPr>
    </w:p>
    <w:p w14:paraId="730399E6" w14:textId="2933C115" w:rsidR="008C298E" w:rsidRPr="00412E44" w:rsidRDefault="006E4E58" w:rsidP="008C298E">
      <w:pPr>
        <w:spacing w:after="200" w:line="360" w:lineRule="auto"/>
        <w:jc w:val="both"/>
        <w:rPr>
          <w:rFonts w:asciiTheme="majorHAnsi" w:hAnsiTheme="majorHAnsi" w:cstheme="majorHAnsi"/>
          <w:i/>
        </w:rPr>
      </w:pPr>
      <w:r>
        <w:rPr>
          <w:rFonts w:asciiTheme="majorHAnsi" w:hAnsiTheme="majorHAnsi" w:cstheme="majorHAnsi"/>
          <w:i/>
        </w:rPr>
        <w:t>Safety</w:t>
      </w:r>
      <w:r w:rsidR="008C298E" w:rsidRPr="00412E44">
        <w:rPr>
          <w:rFonts w:asciiTheme="majorHAnsi" w:hAnsiTheme="majorHAnsi" w:cstheme="majorHAnsi"/>
          <w:i/>
        </w:rPr>
        <w:t>:</w:t>
      </w:r>
    </w:p>
    <w:p w14:paraId="54A41E5A" w14:textId="77777777" w:rsidR="006E4E58" w:rsidRPr="006E4E58" w:rsidRDefault="006E4E58" w:rsidP="006E4E58">
      <w:pPr>
        <w:spacing w:after="200" w:line="360" w:lineRule="auto"/>
        <w:ind w:left="142" w:firstLine="578"/>
        <w:jc w:val="both"/>
        <w:rPr>
          <w:rFonts w:asciiTheme="majorHAnsi" w:hAnsiTheme="majorHAnsi" w:cstheme="majorHAnsi"/>
          <w:lang w:val="en-US"/>
        </w:rPr>
      </w:pPr>
      <w:r w:rsidRPr="006E4E58">
        <w:rPr>
          <w:rFonts w:asciiTheme="majorHAnsi" w:hAnsiTheme="majorHAnsi" w:cstheme="majorHAnsi"/>
          <w:lang w:val="en-US"/>
        </w:rPr>
        <w:t>● Overall mortality: assessed by the proportion of participants who died after the end of the two-year follow-up period for all participants.</w:t>
      </w:r>
    </w:p>
    <w:p w14:paraId="534605D5" w14:textId="372D4201" w:rsidR="006E4E58" w:rsidRPr="006E4E58" w:rsidRDefault="006E4E58" w:rsidP="006E4E58">
      <w:pPr>
        <w:spacing w:after="200" w:line="360" w:lineRule="auto"/>
        <w:ind w:left="142" w:firstLine="578"/>
        <w:jc w:val="both"/>
        <w:rPr>
          <w:rFonts w:asciiTheme="majorHAnsi" w:hAnsiTheme="majorHAnsi" w:cstheme="majorHAnsi"/>
          <w:lang w:val="en-US"/>
        </w:rPr>
      </w:pPr>
      <w:r w:rsidRPr="006E4E58">
        <w:rPr>
          <w:rFonts w:asciiTheme="majorHAnsi" w:hAnsiTheme="majorHAnsi" w:cstheme="majorHAnsi"/>
          <w:lang w:val="en-US"/>
        </w:rPr>
        <w:t xml:space="preserve">● Non-serious adverse events: assessed by the proportion of participants who experienced at least one non-serious adverse event at the following time points: 1, 3, 6, 9, 12, 18, and 24 months after study enrollment. The information regarding the occurrence of this outcome will be compiled in the individual standardized form of each participant, which will be filled in by the research team throughout the project, based on direct active interrogation of the participants </w:t>
      </w:r>
      <w:proofErr w:type="gramStart"/>
      <w:r w:rsidRPr="006E4E58">
        <w:rPr>
          <w:rFonts w:asciiTheme="majorHAnsi" w:hAnsiTheme="majorHAnsi" w:cstheme="majorHAnsi"/>
          <w:lang w:val="en-US"/>
        </w:rPr>
        <w:t>and also</w:t>
      </w:r>
      <w:proofErr w:type="gramEnd"/>
      <w:r w:rsidRPr="006E4E58">
        <w:rPr>
          <w:rFonts w:asciiTheme="majorHAnsi" w:hAnsiTheme="majorHAnsi" w:cstheme="majorHAnsi"/>
          <w:lang w:val="en-US"/>
        </w:rPr>
        <w:t xml:space="preserve"> from their spontaneous reports.</w:t>
      </w:r>
    </w:p>
    <w:p w14:paraId="6A13447A" w14:textId="77777777" w:rsidR="006E4E58" w:rsidRDefault="006E4E58" w:rsidP="006E4E58">
      <w:pPr>
        <w:spacing w:before="240" w:after="240" w:line="360" w:lineRule="auto"/>
        <w:ind w:firstLine="720"/>
        <w:jc w:val="both"/>
        <w:rPr>
          <w:rFonts w:asciiTheme="majorHAnsi" w:hAnsiTheme="majorHAnsi" w:cstheme="majorHAnsi"/>
          <w:lang w:val="en-US"/>
        </w:rPr>
      </w:pPr>
      <w:r w:rsidRPr="006E4E58">
        <w:rPr>
          <w:rFonts w:asciiTheme="majorHAnsi" w:hAnsiTheme="majorHAnsi" w:cstheme="majorHAnsi"/>
          <w:lang w:val="en-US"/>
        </w:rPr>
        <w:t>Insurance will be taken out to cover all participants recruited to participate in this research and is provided for in the project budget.</w:t>
      </w:r>
    </w:p>
    <w:p w14:paraId="6C284410" w14:textId="17A6DF24" w:rsidR="006E4E58" w:rsidRPr="006E4E58" w:rsidRDefault="006E4E58" w:rsidP="006E4E58">
      <w:pPr>
        <w:spacing w:before="240" w:after="240" w:line="360" w:lineRule="auto"/>
        <w:ind w:firstLine="720"/>
        <w:jc w:val="both"/>
        <w:rPr>
          <w:rFonts w:asciiTheme="majorHAnsi" w:hAnsiTheme="majorHAnsi" w:cstheme="majorHAnsi"/>
          <w:b/>
          <w:lang w:val="en-US"/>
        </w:rPr>
      </w:pPr>
      <w:r w:rsidRPr="006E4E58">
        <w:rPr>
          <w:rFonts w:asciiTheme="majorHAnsi" w:hAnsiTheme="majorHAnsi" w:cstheme="majorHAnsi"/>
          <w:b/>
          <w:lang w:val="en-US"/>
        </w:rPr>
        <w:t>Follow-up period</w:t>
      </w:r>
    </w:p>
    <w:p w14:paraId="35E9B4B7" w14:textId="77777777" w:rsidR="006E4E58" w:rsidRPr="006E4E58" w:rsidRDefault="006E4E58" w:rsidP="006E4E58">
      <w:pPr>
        <w:spacing w:line="360" w:lineRule="auto"/>
        <w:ind w:firstLine="720"/>
        <w:jc w:val="both"/>
        <w:rPr>
          <w:rFonts w:asciiTheme="majorHAnsi" w:hAnsiTheme="majorHAnsi" w:cstheme="majorHAnsi"/>
          <w:lang w:val="en-US"/>
        </w:rPr>
      </w:pPr>
      <w:r w:rsidRPr="006E4E58">
        <w:rPr>
          <w:rFonts w:asciiTheme="majorHAnsi" w:hAnsiTheme="majorHAnsi" w:cstheme="majorHAnsi"/>
          <w:lang w:val="en-US"/>
        </w:rPr>
        <w:t>Participants will be followed up for a period of 24 months from study enrollment through medical consultations 1, 3, 6, 9, 12, 18, and 24 months after study enrollment. Thus, the final data of the studies will be available after the period of this triennium.</w:t>
      </w:r>
    </w:p>
    <w:p w14:paraId="61C69304" w14:textId="77777777" w:rsidR="006E4E58" w:rsidRPr="006E4E58" w:rsidRDefault="006E4E58" w:rsidP="006E4E58">
      <w:pPr>
        <w:spacing w:line="360" w:lineRule="auto"/>
        <w:ind w:firstLine="720"/>
        <w:jc w:val="both"/>
        <w:rPr>
          <w:rFonts w:asciiTheme="majorHAnsi" w:hAnsiTheme="majorHAnsi" w:cstheme="majorHAnsi"/>
          <w:lang w:val="en-US"/>
        </w:rPr>
      </w:pPr>
      <w:r w:rsidRPr="006E4E58">
        <w:rPr>
          <w:rFonts w:asciiTheme="majorHAnsi" w:hAnsiTheme="majorHAnsi" w:cstheme="majorHAnsi"/>
          <w:lang w:val="en-US"/>
        </w:rPr>
        <w:t>At hospital discharge, each patient will receive a standardized epileptic seizure diary and will be instructed on how to complete it, considering the occurrence of seizures, and must present it at each follow-up appointment.</w:t>
      </w:r>
    </w:p>
    <w:p w14:paraId="1F7402C0" w14:textId="1A02E5AF" w:rsidR="00E805EC" w:rsidRPr="006E4E58" w:rsidRDefault="006E4E58" w:rsidP="006E4E58">
      <w:pPr>
        <w:spacing w:line="360" w:lineRule="auto"/>
        <w:ind w:firstLine="720"/>
        <w:jc w:val="both"/>
        <w:rPr>
          <w:rFonts w:asciiTheme="majorHAnsi" w:hAnsiTheme="majorHAnsi" w:cstheme="majorHAnsi"/>
          <w:b/>
          <w:lang w:val="en-US"/>
        </w:rPr>
      </w:pPr>
      <w:r w:rsidRPr="006E4E58">
        <w:rPr>
          <w:rFonts w:asciiTheme="majorHAnsi" w:hAnsiTheme="majorHAnsi" w:cstheme="majorHAnsi"/>
          <w:lang w:val="en-US"/>
        </w:rPr>
        <w:t>Patients will be able to undergo examinations (CT, MRI, EEG) at specific times during the hospitalization period and for 24 months after enrollment in the study. In this way, the follow-up period will advance to the three-year period following the start of the project. The evaluation moments will be detailed in the sections 'Outcomes' and 'Schedule and Activities' (item VI).</w:t>
      </w:r>
    </w:p>
    <w:p w14:paraId="30846F37" w14:textId="77777777" w:rsidR="006E4E58" w:rsidRDefault="006E4E58" w:rsidP="00604E11">
      <w:pPr>
        <w:spacing w:line="360" w:lineRule="auto"/>
        <w:jc w:val="both"/>
        <w:rPr>
          <w:rFonts w:asciiTheme="majorHAnsi" w:hAnsiTheme="majorHAnsi" w:cstheme="majorHAnsi"/>
          <w:b/>
          <w:lang w:val="pt-BR"/>
        </w:rPr>
      </w:pPr>
      <w:r w:rsidRPr="006E4E58">
        <w:rPr>
          <w:rFonts w:asciiTheme="majorHAnsi" w:hAnsiTheme="majorHAnsi" w:cstheme="majorHAnsi"/>
          <w:b/>
          <w:lang w:val="pt-BR"/>
        </w:rPr>
        <w:t>Statistical planning and analysis</w:t>
      </w:r>
    </w:p>
    <w:p w14:paraId="594CE899" w14:textId="77777777" w:rsidR="006E4E58" w:rsidRPr="006E4E58" w:rsidRDefault="006E4E58" w:rsidP="006E4E58">
      <w:pPr>
        <w:pStyle w:val="ListParagraph"/>
        <w:spacing w:line="360" w:lineRule="auto"/>
        <w:jc w:val="both"/>
        <w:rPr>
          <w:rFonts w:asciiTheme="majorHAnsi" w:hAnsiTheme="majorHAnsi" w:cstheme="majorHAnsi"/>
          <w:lang w:val="en-US"/>
        </w:rPr>
      </w:pPr>
      <w:r w:rsidRPr="006E4E58">
        <w:rPr>
          <w:rFonts w:asciiTheme="majorHAnsi" w:hAnsiTheme="majorHAnsi" w:cstheme="majorHAnsi"/>
          <w:lang w:val="en-US"/>
        </w:rPr>
        <w:t>The following analyzes will be carried out:</w:t>
      </w:r>
    </w:p>
    <w:p w14:paraId="3D9F6082" w14:textId="77777777" w:rsidR="006E4E58" w:rsidRPr="006E4E58" w:rsidRDefault="006E4E58" w:rsidP="006E4E58">
      <w:pPr>
        <w:spacing w:line="360" w:lineRule="auto"/>
        <w:jc w:val="both"/>
        <w:rPr>
          <w:rFonts w:asciiTheme="majorHAnsi" w:hAnsiTheme="majorHAnsi" w:cstheme="majorHAnsi"/>
          <w:lang w:val="en-US"/>
        </w:rPr>
      </w:pPr>
      <w:r w:rsidRPr="006E4E58">
        <w:rPr>
          <w:rFonts w:asciiTheme="majorHAnsi" w:hAnsiTheme="majorHAnsi" w:cstheme="majorHAnsi"/>
          <w:lang w:val="en-US"/>
        </w:rPr>
        <w:t>• Intra-group analysis: to assess the behavior of the variable over time within a single intervention arm.</w:t>
      </w:r>
    </w:p>
    <w:p w14:paraId="5500F35D" w14:textId="6D7D29B5" w:rsidR="00356F63" w:rsidRDefault="006E4E58" w:rsidP="006E4E58">
      <w:pPr>
        <w:spacing w:line="360" w:lineRule="auto"/>
        <w:jc w:val="both"/>
        <w:rPr>
          <w:rFonts w:asciiTheme="majorHAnsi" w:hAnsiTheme="majorHAnsi" w:cstheme="majorHAnsi"/>
          <w:lang w:val="en-US"/>
        </w:rPr>
      </w:pPr>
      <w:r w:rsidRPr="006E4E58">
        <w:rPr>
          <w:rFonts w:asciiTheme="majorHAnsi" w:hAnsiTheme="majorHAnsi" w:cstheme="majorHAnsi"/>
          <w:lang w:val="en-US"/>
        </w:rPr>
        <w:lastRenderedPageBreak/>
        <w:t>• Inter-group analysis: to assess the outcomes of interest, considering the occurrence of events or average scores between the two intervention arms at all planned timepoints). These will be the analyzes of greatest interest, because through them it is possible to compare the effects of two or more interventions in an RCT.</w:t>
      </w:r>
    </w:p>
    <w:p w14:paraId="75B60567" w14:textId="77777777" w:rsidR="006E4E58" w:rsidRPr="006E4E58" w:rsidRDefault="006E4E58" w:rsidP="006E4E58">
      <w:pPr>
        <w:spacing w:line="360" w:lineRule="auto"/>
        <w:jc w:val="both"/>
        <w:rPr>
          <w:rFonts w:asciiTheme="majorHAnsi" w:hAnsiTheme="majorHAnsi" w:cstheme="majorHAnsi"/>
          <w:lang w:val="en-US"/>
        </w:rPr>
      </w:pPr>
    </w:p>
    <w:p w14:paraId="19270C6E" w14:textId="77777777" w:rsidR="006E4E58" w:rsidRPr="006E4E58" w:rsidRDefault="006E4E58" w:rsidP="006E4E58">
      <w:pPr>
        <w:spacing w:line="360" w:lineRule="auto"/>
        <w:ind w:firstLine="720"/>
        <w:jc w:val="both"/>
        <w:rPr>
          <w:rFonts w:asciiTheme="majorHAnsi" w:hAnsiTheme="majorHAnsi" w:cstheme="majorHAnsi"/>
          <w:lang w:val="en-US"/>
        </w:rPr>
      </w:pPr>
      <w:r w:rsidRPr="006E4E58">
        <w:rPr>
          <w:rFonts w:asciiTheme="majorHAnsi" w:hAnsiTheme="majorHAnsi" w:cstheme="majorHAnsi"/>
          <w:lang w:val="en-US"/>
        </w:rPr>
        <w:t xml:space="preserve">To evaluate the characteristics of the data distribution (Gaussian or not), the Kolmogorov-Smirnov and Shapiro-Wilk tests will be applied. For the tests, their respective tables of critical values ​​will be used according to the sample and the level of significance (assumed value: 0.05). For the </w:t>
      </w:r>
      <w:proofErr w:type="spellStart"/>
      <w:r w:rsidRPr="006E4E58">
        <w:rPr>
          <w:rFonts w:asciiTheme="majorHAnsi" w:hAnsiTheme="majorHAnsi" w:cstheme="majorHAnsi"/>
          <w:lang w:val="en-US"/>
        </w:rPr>
        <w:t>Kolmogorv</w:t>
      </w:r>
      <w:proofErr w:type="spellEnd"/>
      <w:r w:rsidRPr="006E4E58">
        <w:rPr>
          <w:rFonts w:asciiTheme="majorHAnsi" w:hAnsiTheme="majorHAnsi" w:cstheme="majorHAnsi"/>
          <w:lang w:val="en-US"/>
        </w:rPr>
        <w:t>-Smirnov test, if the value calculated by the test is greater than the critical value, the hypothesis of normality of the data will be rejected. For the Shapiro-Wilk test, the hypothesis of normality of the data will be rejected if the calculated value is less than the critical value.</w:t>
      </w:r>
    </w:p>
    <w:p w14:paraId="0A148CB7" w14:textId="77777777" w:rsidR="006E4E58" w:rsidRPr="006E4E58" w:rsidRDefault="006E4E58" w:rsidP="006E4E58">
      <w:pPr>
        <w:spacing w:line="360" w:lineRule="auto"/>
        <w:ind w:firstLine="720"/>
        <w:jc w:val="both"/>
        <w:rPr>
          <w:rFonts w:asciiTheme="majorHAnsi" w:hAnsiTheme="majorHAnsi" w:cstheme="majorHAnsi"/>
          <w:lang w:val="en-US"/>
        </w:rPr>
      </w:pPr>
      <w:r w:rsidRPr="006E4E58">
        <w:rPr>
          <w:rFonts w:asciiTheme="majorHAnsi" w:hAnsiTheme="majorHAnsi" w:cstheme="majorHAnsi"/>
          <w:lang w:val="en-US"/>
        </w:rPr>
        <w:t xml:space="preserve">To compare the average results obtained between the groups (called group effect) </w:t>
      </w:r>
      <w:proofErr w:type="gramStart"/>
      <w:r w:rsidRPr="006E4E58">
        <w:rPr>
          <w:rFonts w:asciiTheme="majorHAnsi" w:hAnsiTheme="majorHAnsi" w:cstheme="majorHAnsi"/>
          <w:lang w:val="en-US"/>
        </w:rPr>
        <w:t>and also</w:t>
      </w:r>
      <w:proofErr w:type="gramEnd"/>
      <w:r w:rsidRPr="006E4E58">
        <w:rPr>
          <w:rFonts w:asciiTheme="majorHAnsi" w:hAnsiTheme="majorHAnsi" w:cstheme="majorHAnsi"/>
          <w:lang w:val="en-US"/>
        </w:rPr>
        <w:t>, at the same time, between two moments (1, 3, 6, 9, 12, 18 and 24 months), analysis of variance (ANOVA ) with repeated measurements, considering that the measurements over time are related to the same patient. If the data distribution is not Gaussian, the Friedman test will be used, with the Wilcoxon test for post-hoc analysis.</w:t>
      </w:r>
    </w:p>
    <w:p w14:paraId="5166F729" w14:textId="77777777" w:rsidR="006E4E58" w:rsidRPr="006E4E58" w:rsidRDefault="006E4E58" w:rsidP="006E4E58">
      <w:pPr>
        <w:spacing w:line="360" w:lineRule="auto"/>
        <w:ind w:firstLine="720"/>
        <w:jc w:val="both"/>
        <w:rPr>
          <w:rFonts w:asciiTheme="majorHAnsi" w:hAnsiTheme="majorHAnsi" w:cstheme="majorHAnsi"/>
          <w:lang w:val="en-US"/>
        </w:rPr>
      </w:pPr>
      <w:r w:rsidRPr="006E4E58">
        <w:rPr>
          <w:rFonts w:asciiTheme="majorHAnsi" w:hAnsiTheme="majorHAnsi" w:cstheme="majorHAnsi"/>
          <w:lang w:val="en-US"/>
        </w:rPr>
        <w:t>For dichotomous variables, the chi-square test or Fisher's exact test (less than five events in a cell of the contingency table) will be used to compare the frequency of events between the two intervention groups.</w:t>
      </w:r>
    </w:p>
    <w:p w14:paraId="7624BFF3" w14:textId="77777777" w:rsidR="006E4E58" w:rsidRPr="006E4E58" w:rsidRDefault="006E4E58" w:rsidP="006E4E58">
      <w:pPr>
        <w:spacing w:line="360" w:lineRule="auto"/>
        <w:ind w:firstLine="720"/>
        <w:jc w:val="both"/>
        <w:rPr>
          <w:rFonts w:asciiTheme="majorHAnsi" w:hAnsiTheme="majorHAnsi" w:cstheme="majorHAnsi"/>
          <w:lang w:val="en-US"/>
        </w:rPr>
      </w:pPr>
      <w:r w:rsidRPr="006E4E58">
        <w:rPr>
          <w:rFonts w:asciiTheme="majorHAnsi" w:hAnsiTheme="majorHAnsi" w:cstheme="majorHAnsi"/>
          <w:lang w:val="en-US"/>
        </w:rPr>
        <w:t>For all tests, a significance level of 5% will be considered and data will be analyzed by intention to treat (ITT) and per protocol. If there is a difference in the results found with the two analyses, the results of the ITT analysis will be considered as the main ones. In case of loss of data or participants, ITT analyzes will be carried out using appropriate methods for imputing missing data (last observation carried forward - LOCF, average of remaining participants or mixed approaches).</w:t>
      </w:r>
    </w:p>
    <w:p w14:paraId="1FA9292D" w14:textId="24F9B292" w:rsidR="00A636C3" w:rsidRDefault="006E4E58" w:rsidP="006E4E58">
      <w:pPr>
        <w:spacing w:line="360" w:lineRule="auto"/>
        <w:ind w:firstLine="720"/>
        <w:jc w:val="both"/>
        <w:rPr>
          <w:rFonts w:asciiTheme="majorHAnsi" w:hAnsiTheme="majorHAnsi" w:cstheme="majorHAnsi"/>
          <w:lang w:val="en-US"/>
        </w:rPr>
      </w:pPr>
      <w:r w:rsidRPr="006E4E58">
        <w:rPr>
          <w:rFonts w:asciiTheme="majorHAnsi" w:hAnsiTheme="majorHAnsi" w:cstheme="majorHAnsi"/>
          <w:lang w:val="en-US"/>
        </w:rPr>
        <w:t>For dichotomous variables, the chi-square test or Fisher's exact test will be used to compare the frequency of events between the two intervention groups</w:t>
      </w:r>
      <w:r>
        <w:rPr>
          <w:rFonts w:asciiTheme="majorHAnsi" w:hAnsiTheme="majorHAnsi" w:cstheme="majorHAnsi"/>
          <w:lang w:val="en-US"/>
        </w:rPr>
        <w:t>.</w:t>
      </w:r>
    </w:p>
    <w:p w14:paraId="4DB49D0C" w14:textId="77777777" w:rsidR="006E4E58" w:rsidRPr="006E4E58" w:rsidRDefault="006E4E58" w:rsidP="006E4E58">
      <w:pPr>
        <w:spacing w:line="360" w:lineRule="auto"/>
        <w:jc w:val="both"/>
        <w:rPr>
          <w:rFonts w:asciiTheme="majorHAnsi" w:hAnsiTheme="majorHAnsi" w:cstheme="majorHAnsi"/>
          <w:b/>
          <w:lang w:val="en-US"/>
        </w:rPr>
      </w:pPr>
    </w:p>
    <w:p w14:paraId="3E539A34" w14:textId="77777777" w:rsidR="006E4E58" w:rsidRDefault="006E4E58" w:rsidP="007F600C">
      <w:pPr>
        <w:spacing w:line="360" w:lineRule="auto"/>
        <w:jc w:val="both"/>
        <w:rPr>
          <w:rFonts w:asciiTheme="majorHAnsi" w:hAnsiTheme="majorHAnsi" w:cstheme="majorHAnsi"/>
          <w:b/>
          <w:lang w:val="pt-BR"/>
        </w:rPr>
      </w:pPr>
      <w:r w:rsidRPr="006E4E58">
        <w:rPr>
          <w:rFonts w:asciiTheme="majorHAnsi" w:hAnsiTheme="majorHAnsi" w:cstheme="majorHAnsi"/>
          <w:b/>
          <w:lang w:val="pt-BR"/>
        </w:rPr>
        <w:t>Study duration forecast</w:t>
      </w:r>
    </w:p>
    <w:p w14:paraId="73CEA95D" w14:textId="2CADD273" w:rsidR="00A636C3" w:rsidRDefault="007F600C">
      <w:pPr>
        <w:spacing w:line="360" w:lineRule="auto"/>
        <w:jc w:val="both"/>
        <w:rPr>
          <w:rFonts w:asciiTheme="majorHAnsi" w:hAnsiTheme="majorHAnsi" w:cstheme="majorHAnsi"/>
          <w:lang w:val="en-US"/>
        </w:rPr>
      </w:pPr>
      <w:r>
        <w:rPr>
          <w:rFonts w:asciiTheme="minorHAnsi" w:hAnsiTheme="minorHAnsi" w:cstheme="minorHAnsi"/>
          <w:lang w:val="pt-BR"/>
        </w:rPr>
        <w:tab/>
      </w:r>
      <w:r w:rsidR="006E4E58" w:rsidRPr="006E4E58">
        <w:rPr>
          <w:rFonts w:asciiTheme="majorHAnsi" w:hAnsiTheme="majorHAnsi" w:cstheme="majorHAnsi"/>
          <w:lang w:val="en-US"/>
        </w:rPr>
        <w:t xml:space="preserve">The participation of nine centers is estimated and it is expected that around 3 to 5 participants per center/month will be included, which implies 14 to 18 months for the inclusion of the 312 participants. The total estimated time for the duration of the study (10-day intervention phase followed by a 24-month </w:t>
      </w:r>
      <w:r w:rsidR="006E4E58" w:rsidRPr="006E4E58">
        <w:rPr>
          <w:rFonts w:asciiTheme="majorHAnsi" w:hAnsiTheme="majorHAnsi" w:cstheme="majorHAnsi"/>
          <w:lang w:val="en-US"/>
        </w:rPr>
        <w:lastRenderedPageBreak/>
        <w:t>follow-up phase) is 38 to 42 months, that is, advancing to the triennium following the triennium in which the project began.</w:t>
      </w:r>
    </w:p>
    <w:p w14:paraId="236F62D7" w14:textId="77777777" w:rsidR="006E4E58" w:rsidRPr="006E4E58" w:rsidRDefault="006E4E58">
      <w:pPr>
        <w:spacing w:line="360" w:lineRule="auto"/>
        <w:jc w:val="both"/>
        <w:rPr>
          <w:rFonts w:asciiTheme="majorHAnsi" w:hAnsiTheme="majorHAnsi" w:cstheme="majorHAnsi"/>
          <w:b/>
          <w:lang w:val="en-US"/>
        </w:rPr>
      </w:pPr>
    </w:p>
    <w:p w14:paraId="772516C3" w14:textId="114F1FC0" w:rsidR="006E4E58" w:rsidRPr="002C0CC6" w:rsidRDefault="006E4E58" w:rsidP="006E4E58">
      <w:pPr>
        <w:spacing w:line="360" w:lineRule="auto"/>
        <w:ind w:firstLine="720"/>
        <w:jc w:val="both"/>
        <w:rPr>
          <w:rFonts w:asciiTheme="majorHAnsi" w:hAnsiTheme="majorHAnsi" w:cstheme="majorHAnsi"/>
          <w:b/>
          <w:lang w:val="en-US"/>
        </w:rPr>
      </w:pPr>
      <w:r w:rsidRPr="002C0CC6">
        <w:rPr>
          <w:rFonts w:asciiTheme="majorHAnsi" w:hAnsiTheme="majorHAnsi" w:cstheme="majorHAnsi"/>
          <w:b/>
          <w:lang w:val="en-US"/>
        </w:rPr>
        <w:t>Interim analysis</w:t>
      </w:r>
    </w:p>
    <w:p w14:paraId="1B24D641" w14:textId="7B98F706" w:rsidR="00DE4F99" w:rsidRDefault="002C0CC6" w:rsidP="00604E11">
      <w:pPr>
        <w:spacing w:line="360" w:lineRule="auto"/>
        <w:ind w:firstLine="720"/>
        <w:jc w:val="both"/>
        <w:rPr>
          <w:rFonts w:asciiTheme="majorHAnsi" w:hAnsiTheme="majorHAnsi" w:cstheme="majorHAnsi"/>
          <w:lang w:val="en-US"/>
        </w:rPr>
      </w:pPr>
      <w:r w:rsidRPr="002C0CC6">
        <w:rPr>
          <w:rFonts w:asciiTheme="majorHAnsi" w:hAnsiTheme="majorHAnsi" w:cstheme="majorHAnsi"/>
          <w:lang w:val="en-US"/>
        </w:rPr>
        <w:t>An interim analysis will be performed after the first 156 participants have completed 12 months of study. This will likely occur 26 to 31 months after the first participant is enrolled. Thus, the interim analysis will be conducted after the period comprising the three-year period in which the project was initiated.</w:t>
      </w:r>
    </w:p>
    <w:p w14:paraId="3649A6C7" w14:textId="77777777" w:rsidR="002C0CC6" w:rsidRPr="002C0CC6" w:rsidRDefault="002C0CC6" w:rsidP="00604E11">
      <w:pPr>
        <w:spacing w:line="360" w:lineRule="auto"/>
        <w:ind w:firstLine="720"/>
        <w:jc w:val="both"/>
        <w:rPr>
          <w:rFonts w:asciiTheme="majorHAnsi" w:hAnsiTheme="majorHAnsi" w:cstheme="majorHAnsi"/>
          <w:lang w:val="en-US"/>
        </w:rPr>
      </w:pPr>
    </w:p>
    <w:p w14:paraId="3704D76D" w14:textId="77777777" w:rsidR="002C0CC6" w:rsidRDefault="002C0CC6" w:rsidP="00604E11">
      <w:pPr>
        <w:spacing w:line="360" w:lineRule="auto"/>
        <w:ind w:firstLine="720"/>
        <w:jc w:val="both"/>
        <w:rPr>
          <w:rFonts w:asciiTheme="majorHAnsi" w:hAnsiTheme="majorHAnsi" w:cstheme="majorHAnsi"/>
          <w:b/>
          <w:lang w:val="pt-BR"/>
        </w:rPr>
      </w:pPr>
      <w:r w:rsidRPr="002C0CC6">
        <w:rPr>
          <w:rFonts w:asciiTheme="majorHAnsi" w:hAnsiTheme="majorHAnsi" w:cstheme="majorHAnsi"/>
          <w:b/>
          <w:lang w:val="pt-BR"/>
        </w:rPr>
        <w:t>Criteria for stopping the study</w:t>
      </w:r>
    </w:p>
    <w:p w14:paraId="3EC874EB" w14:textId="50BFF00C" w:rsidR="00887C99" w:rsidRDefault="002C0CC6" w:rsidP="002C0CC6">
      <w:pPr>
        <w:spacing w:line="360" w:lineRule="auto"/>
        <w:ind w:firstLine="720"/>
        <w:jc w:val="both"/>
        <w:rPr>
          <w:rFonts w:asciiTheme="majorHAnsi" w:hAnsiTheme="majorHAnsi" w:cstheme="majorHAnsi"/>
          <w:lang w:val="en-US"/>
        </w:rPr>
      </w:pPr>
      <w:r w:rsidRPr="002C0CC6">
        <w:rPr>
          <w:rFonts w:asciiTheme="majorHAnsi" w:hAnsiTheme="majorHAnsi" w:cstheme="majorHAnsi"/>
          <w:lang w:val="en-US"/>
        </w:rPr>
        <w:t xml:space="preserve">In the interim analysis, the study can be terminated due to futility if the results found indicate that even with the continuity of the study (considering the most favorable scenario for biperiden) the </w:t>
      </w:r>
      <w:proofErr w:type="gramStart"/>
      <w:r w:rsidRPr="002C0CC6">
        <w:rPr>
          <w:rFonts w:asciiTheme="majorHAnsi" w:hAnsiTheme="majorHAnsi" w:cstheme="majorHAnsi"/>
          <w:lang w:val="en-US"/>
        </w:rPr>
        <w:t>final results</w:t>
      </w:r>
      <w:proofErr w:type="gramEnd"/>
      <w:r w:rsidRPr="002C0CC6">
        <w:rPr>
          <w:rFonts w:asciiTheme="majorHAnsi" w:hAnsiTheme="majorHAnsi" w:cstheme="majorHAnsi"/>
          <w:lang w:val="en-US"/>
        </w:rPr>
        <w:t xml:space="preserve"> would show no benefit or, at best, a benefit clinically not relevant.</w:t>
      </w:r>
    </w:p>
    <w:p w14:paraId="6E68D393" w14:textId="77777777" w:rsidR="002C0CC6" w:rsidRPr="002C0CC6" w:rsidRDefault="002C0CC6" w:rsidP="002C0CC6">
      <w:pPr>
        <w:spacing w:line="360" w:lineRule="auto"/>
        <w:ind w:firstLine="720"/>
        <w:jc w:val="both"/>
        <w:rPr>
          <w:rFonts w:asciiTheme="majorHAnsi" w:hAnsiTheme="majorHAnsi" w:cstheme="majorHAnsi"/>
          <w:b/>
          <w:highlight w:val="yellow"/>
          <w:lang w:val="en-US"/>
        </w:rPr>
      </w:pPr>
    </w:p>
    <w:p w14:paraId="622B502A" w14:textId="77777777" w:rsidR="002C0CC6" w:rsidRDefault="002C0CC6" w:rsidP="00161B82">
      <w:pPr>
        <w:spacing w:line="360" w:lineRule="auto"/>
        <w:ind w:firstLine="720"/>
        <w:jc w:val="both"/>
        <w:rPr>
          <w:rFonts w:asciiTheme="majorHAnsi" w:hAnsiTheme="majorHAnsi" w:cstheme="majorHAnsi"/>
          <w:b/>
          <w:lang w:val="pt-BR"/>
        </w:rPr>
      </w:pPr>
      <w:r w:rsidRPr="002C0CC6">
        <w:rPr>
          <w:rFonts w:asciiTheme="majorHAnsi" w:hAnsiTheme="majorHAnsi" w:cstheme="majorHAnsi"/>
          <w:b/>
          <w:lang w:val="pt-BR"/>
        </w:rPr>
        <w:t>Criteria for excluding a participant after the start of the study</w:t>
      </w:r>
    </w:p>
    <w:p w14:paraId="2A2A588F" w14:textId="77777777" w:rsidR="002C0CC6" w:rsidRPr="002C0CC6" w:rsidRDefault="002C0CC6" w:rsidP="002C0CC6">
      <w:pPr>
        <w:spacing w:line="360" w:lineRule="auto"/>
        <w:ind w:firstLine="720"/>
        <w:jc w:val="both"/>
        <w:rPr>
          <w:rFonts w:asciiTheme="majorHAnsi" w:hAnsiTheme="majorHAnsi" w:cstheme="majorHAnsi"/>
          <w:lang w:val="en-US"/>
        </w:rPr>
      </w:pPr>
      <w:r w:rsidRPr="002C0CC6">
        <w:rPr>
          <w:rFonts w:asciiTheme="majorHAnsi" w:hAnsiTheme="majorHAnsi" w:cstheme="majorHAnsi"/>
          <w:lang w:val="en-US"/>
        </w:rPr>
        <w:t>The participant will be excluded from the study in cases of pregnancy during intervention, expression of desire to discontinue participation, occurrence of serious adverse events that put the participant's life at risk (at the discretion of the investigator in discussion with the monitoring committee); if there was a screening error when including patients with a history of epilepsy/glaucoma or any other health condition prior to TBI and predicted in the study exclusion criteria (when this finding cannot occur at the time of recruitment); any other condition that, in the opinion of the investigator, would be to the advantage of the patient not following the procedures specified in this protocol.</w:t>
      </w:r>
    </w:p>
    <w:p w14:paraId="7D8BA45B" w14:textId="136B798A" w:rsidR="00A636C3" w:rsidRDefault="002C0CC6" w:rsidP="002C0CC6">
      <w:pPr>
        <w:spacing w:line="360" w:lineRule="auto"/>
        <w:ind w:firstLine="720"/>
        <w:jc w:val="both"/>
        <w:rPr>
          <w:rFonts w:asciiTheme="majorHAnsi" w:hAnsiTheme="majorHAnsi" w:cstheme="majorHAnsi"/>
          <w:lang w:val="en-US"/>
        </w:rPr>
      </w:pPr>
      <w:r w:rsidRPr="002C0CC6">
        <w:rPr>
          <w:rFonts w:asciiTheme="majorHAnsi" w:hAnsiTheme="majorHAnsi" w:cstheme="majorHAnsi"/>
          <w:lang w:val="en-US"/>
        </w:rPr>
        <w:t>Participants who did not complete the minimum necessary doses (30 doses), due to hospital discharge, death, or any other intercurrence that makes it impossible to complete the administration of the drug will be considered protocol deviations.</w:t>
      </w:r>
    </w:p>
    <w:p w14:paraId="1D226C0A" w14:textId="77777777" w:rsidR="002C0CC6" w:rsidRPr="002C0CC6" w:rsidRDefault="002C0CC6" w:rsidP="002C0CC6">
      <w:pPr>
        <w:spacing w:line="360" w:lineRule="auto"/>
        <w:jc w:val="both"/>
        <w:rPr>
          <w:rFonts w:asciiTheme="majorHAnsi" w:hAnsiTheme="majorHAnsi" w:cstheme="majorHAnsi"/>
          <w:b/>
          <w:lang w:val="en-US"/>
        </w:rPr>
      </w:pPr>
    </w:p>
    <w:p w14:paraId="712D2CC5" w14:textId="560A36A6" w:rsidR="00A636C3" w:rsidRPr="00412E44" w:rsidRDefault="002C0CC6">
      <w:pPr>
        <w:spacing w:line="360" w:lineRule="auto"/>
        <w:jc w:val="both"/>
        <w:rPr>
          <w:rFonts w:asciiTheme="majorHAnsi" w:hAnsiTheme="majorHAnsi" w:cstheme="majorHAnsi"/>
          <w:b/>
          <w:lang w:val="pt-BR"/>
        </w:rPr>
      </w:pPr>
      <w:r>
        <w:rPr>
          <w:rFonts w:asciiTheme="majorHAnsi" w:hAnsiTheme="majorHAnsi" w:cstheme="majorHAnsi"/>
          <w:b/>
          <w:lang w:val="pt-BR"/>
        </w:rPr>
        <w:t>Monitoring</w:t>
      </w:r>
    </w:p>
    <w:p w14:paraId="6EDE8700" w14:textId="77777777" w:rsidR="002C0CC6" w:rsidRDefault="002C0CC6" w:rsidP="002C0CC6">
      <w:pPr>
        <w:spacing w:line="360" w:lineRule="auto"/>
        <w:ind w:left="720"/>
        <w:jc w:val="both"/>
        <w:rPr>
          <w:rFonts w:asciiTheme="majorHAnsi" w:hAnsiTheme="majorHAnsi" w:cstheme="majorHAnsi"/>
          <w:lang w:val="pt-BR"/>
        </w:rPr>
      </w:pPr>
      <w:r w:rsidRPr="002C0CC6">
        <w:rPr>
          <w:rFonts w:asciiTheme="majorHAnsi" w:hAnsiTheme="majorHAnsi" w:cstheme="majorHAnsi"/>
          <w:lang w:val="pt-BR"/>
        </w:rPr>
        <w:t>Before the start of the study, an ad hoc committee will be constituted, composed of two external researchers and an internal researcher, with the central objective of:</w:t>
      </w:r>
    </w:p>
    <w:p w14:paraId="47877638"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Oversee the progress of the clinical trial and ensure that it is conducted, recorded, and reported in accordance with the protocol, Standard Operating Procedures (SOPs), and Good Clinical Practice [Imperial College 2007] and applicable regulatory requirements.</w:t>
      </w:r>
    </w:p>
    <w:p w14:paraId="5AFA33B3" w14:textId="4EE363F6" w:rsidR="00A636C3"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lastRenderedPageBreak/>
        <w:t xml:space="preserve">● Develop and update a document that describes strategies, methods, </w:t>
      </w:r>
      <w:proofErr w:type="gramStart"/>
      <w:r w:rsidRPr="002C0CC6">
        <w:rPr>
          <w:rFonts w:asciiTheme="majorHAnsi" w:hAnsiTheme="majorHAnsi" w:cstheme="majorHAnsi"/>
          <w:lang w:val="en-US"/>
        </w:rPr>
        <w:t>responsibilities</w:t>
      </w:r>
      <w:proofErr w:type="gramEnd"/>
      <w:r w:rsidRPr="002C0CC6">
        <w:rPr>
          <w:rFonts w:asciiTheme="majorHAnsi" w:hAnsiTheme="majorHAnsi" w:cstheme="majorHAnsi"/>
          <w:lang w:val="en-US"/>
        </w:rPr>
        <w:t xml:space="preserve"> and requirements for monitoring the clinical trial.</w:t>
      </w:r>
    </w:p>
    <w:p w14:paraId="047EAEBC" w14:textId="77777777" w:rsidR="002C0CC6" w:rsidRPr="002C0CC6" w:rsidRDefault="002C0CC6" w:rsidP="002C0CC6">
      <w:pPr>
        <w:spacing w:line="360" w:lineRule="auto"/>
        <w:ind w:left="720"/>
        <w:jc w:val="both"/>
        <w:rPr>
          <w:rFonts w:asciiTheme="majorHAnsi" w:hAnsiTheme="majorHAnsi" w:cstheme="majorHAnsi"/>
          <w:lang w:val="en-US"/>
        </w:rPr>
      </w:pPr>
    </w:p>
    <w:p w14:paraId="12ED32A5" w14:textId="474A6D03" w:rsidR="00A636C3" w:rsidRPr="002C0CC6" w:rsidRDefault="002C0CC6" w:rsidP="002C0CC6">
      <w:pPr>
        <w:spacing w:line="360" w:lineRule="auto"/>
        <w:jc w:val="both"/>
        <w:rPr>
          <w:rFonts w:asciiTheme="majorHAnsi" w:hAnsiTheme="majorHAnsi" w:cstheme="majorHAnsi"/>
          <w:lang w:val="en-US"/>
        </w:rPr>
      </w:pPr>
      <w:r w:rsidRPr="002C0CC6">
        <w:rPr>
          <w:rFonts w:asciiTheme="majorHAnsi" w:hAnsiTheme="majorHAnsi" w:cstheme="majorHAnsi"/>
          <w:lang w:val="en-US"/>
        </w:rPr>
        <w:t>The monitoring committee's activities include:</w:t>
      </w:r>
    </w:p>
    <w:p w14:paraId="6736C347" w14:textId="77777777" w:rsidR="002C0CC6" w:rsidRPr="002C0CC6" w:rsidRDefault="00DA6D78" w:rsidP="002C0CC6">
      <w:pPr>
        <w:numPr>
          <w:ilvl w:val="0"/>
          <w:numId w:val="6"/>
        </w:numPr>
        <w:spacing w:line="360" w:lineRule="auto"/>
        <w:jc w:val="both"/>
        <w:rPr>
          <w:rFonts w:asciiTheme="majorHAnsi" w:hAnsiTheme="majorHAnsi" w:cstheme="majorHAnsi"/>
          <w:lang w:val="en-US"/>
        </w:rPr>
      </w:pPr>
      <w:r w:rsidRPr="002C0CC6">
        <w:rPr>
          <w:rFonts w:asciiTheme="majorHAnsi" w:hAnsiTheme="majorHAnsi" w:cstheme="majorHAnsi"/>
          <w:lang w:val="en-US"/>
        </w:rPr>
        <w:t xml:space="preserve"> </w:t>
      </w:r>
      <w:r w:rsidR="002C0CC6" w:rsidRPr="002C0CC6">
        <w:rPr>
          <w:rFonts w:asciiTheme="majorHAnsi" w:hAnsiTheme="majorHAnsi" w:cstheme="majorHAnsi"/>
          <w:lang w:val="en-US"/>
        </w:rPr>
        <w:t>Monitor compliance between the execution of the study and the protocol, through periodic and random activities to:</w:t>
      </w:r>
    </w:p>
    <w:p w14:paraId="3AEE64E4"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observe the adequacy to the eligibility criteria</w:t>
      </w:r>
    </w:p>
    <w:p w14:paraId="66A16075"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observe the adequacy to the schedule</w:t>
      </w:r>
    </w:p>
    <w:p w14:paraId="57FE5C58"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observe patient/staff adherence to the use of the intervention</w:t>
      </w:r>
    </w:p>
    <w:p w14:paraId="54296EC3"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observe compliance with randomization methods and allocation secrecy</w:t>
      </w:r>
    </w:p>
    <w:p w14:paraId="548B2407"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xml:space="preserve">○ ensure that study data are reported accurately, </w:t>
      </w:r>
      <w:proofErr w:type="gramStart"/>
      <w:r w:rsidRPr="002C0CC6">
        <w:rPr>
          <w:rFonts w:asciiTheme="majorHAnsi" w:hAnsiTheme="majorHAnsi" w:cstheme="majorHAnsi"/>
          <w:lang w:val="en-US"/>
        </w:rPr>
        <w:t>completely</w:t>
      </w:r>
      <w:proofErr w:type="gramEnd"/>
      <w:r w:rsidRPr="002C0CC6">
        <w:rPr>
          <w:rFonts w:asciiTheme="majorHAnsi" w:hAnsiTheme="majorHAnsi" w:cstheme="majorHAnsi"/>
          <w:lang w:val="en-US"/>
        </w:rPr>
        <w:t xml:space="preserve"> and verifiable from source documents.</w:t>
      </w:r>
    </w:p>
    <w:p w14:paraId="78F1FDAD" w14:textId="77777777" w:rsidR="002C0CC6" w:rsidRPr="002C0CC6" w:rsidRDefault="002C0CC6" w:rsidP="002C0CC6">
      <w:pPr>
        <w:spacing w:line="360" w:lineRule="auto"/>
        <w:ind w:left="720"/>
        <w:jc w:val="both"/>
        <w:rPr>
          <w:rFonts w:asciiTheme="majorHAnsi" w:hAnsiTheme="majorHAnsi" w:cstheme="majorHAnsi"/>
          <w:lang w:val="en-US"/>
        </w:rPr>
      </w:pPr>
    </w:p>
    <w:p w14:paraId="769DCD94"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Monitor security aspects, through periodic and random activities to:</w:t>
      </w:r>
    </w:p>
    <w:p w14:paraId="1EE4B129"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ensure the rights and well-being of participants</w:t>
      </w:r>
    </w:p>
    <w:p w14:paraId="466D3841" w14:textId="77777777" w:rsidR="002C0CC6" w:rsidRPr="002C0CC6" w:rsidRDefault="002C0CC6" w:rsidP="002C0CC6">
      <w:pPr>
        <w:spacing w:line="360" w:lineRule="auto"/>
        <w:ind w:left="720"/>
        <w:jc w:val="both"/>
        <w:rPr>
          <w:rFonts w:asciiTheme="majorHAnsi" w:hAnsiTheme="majorHAnsi" w:cstheme="majorHAnsi"/>
          <w:lang w:val="pt-BR"/>
        </w:rPr>
      </w:pPr>
      <w:r w:rsidRPr="002C0CC6">
        <w:rPr>
          <w:rFonts w:asciiTheme="majorHAnsi" w:hAnsiTheme="majorHAnsi" w:cstheme="majorHAnsi"/>
          <w:lang w:val="pt-BR"/>
        </w:rPr>
        <w:t>○ occurrence of serious adverse events</w:t>
      </w:r>
    </w:p>
    <w:p w14:paraId="6713DE97" w14:textId="77777777" w:rsidR="002C0CC6" w:rsidRPr="002C0CC6" w:rsidRDefault="002C0CC6" w:rsidP="002C0CC6">
      <w:pPr>
        <w:spacing w:line="360" w:lineRule="auto"/>
        <w:ind w:left="720"/>
        <w:jc w:val="both"/>
        <w:rPr>
          <w:rFonts w:asciiTheme="majorHAnsi" w:hAnsiTheme="majorHAnsi" w:cstheme="majorHAnsi"/>
          <w:lang w:val="pt-BR"/>
        </w:rPr>
      </w:pPr>
      <w:r w:rsidRPr="002C0CC6">
        <w:rPr>
          <w:rFonts w:asciiTheme="majorHAnsi" w:hAnsiTheme="majorHAnsi" w:cstheme="majorHAnsi"/>
          <w:lang w:val="pt-BR"/>
        </w:rPr>
        <w:t>○ evaluate criteria for study interruption</w:t>
      </w:r>
    </w:p>
    <w:p w14:paraId="004F43EA"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ensure adherence to research ethics and good clinical practice [ICH-6] recommendations and guidelines.</w:t>
      </w:r>
    </w:p>
    <w:p w14:paraId="7BED218D" w14:textId="77777777" w:rsidR="002C0CC6" w:rsidRPr="002C0CC6" w:rsidRDefault="002C0CC6" w:rsidP="002C0CC6">
      <w:pPr>
        <w:spacing w:line="360" w:lineRule="auto"/>
        <w:ind w:left="720"/>
        <w:jc w:val="both"/>
        <w:rPr>
          <w:rFonts w:asciiTheme="majorHAnsi" w:hAnsiTheme="majorHAnsi" w:cstheme="majorHAnsi"/>
          <w:lang w:val="en-US"/>
        </w:rPr>
      </w:pPr>
    </w:p>
    <w:p w14:paraId="532D0B3E" w14:textId="77777777" w:rsidR="002C0CC6" w:rsidRPr="002C0CC6" w:rsidRDefault="002C0CC6" w:rsidP="002C0CC6">
      <w:pPr>
        <w:spacing w:line="360" w:lineRule="auto"/>
        <w:ind w:left="720"/>
        <w:jc w:val="both"/>
        <w:rPr>
          <w:rFonts w:asciiTheme="majorHAnsi" w:hAnsiTheme="majorHAnsi" w:cstheme="majorHAnsi"/>
          <w:lang w:val="pt-BR"/>
        </w:rPr>
      </w:pPr>
      <w:r w:rsidRPr="002C0CC6">
        <w:rPr>
          <w:rFonts w:asciiTheme="majorHAnsi" w:hAnsiTheme="majorHAnsi" w:cstheme="majorHAnsi"/>
          <w:lang w:val="pt-BR"/>
        </w:rPr>
        <w:t>About the committee members:</w:t>
      </w:r>
    </w:p>
    <w:p w14:paraId="02153CD8"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must be properly trained and must have the necessary scientific and/or clinical knowledge to properly monitor the trial.</w:t>
      </w:r>
    </w:p>
    <w:p w14:paraId="03CBCC7D"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your qualifications must be documented.</w:t>
      </w:r>
    </w:p>
    <w:p w14:paraId="3C709CB9" w14:textId="77777777" w:rsidR="002C0CC6" w:rsidRPr="002C0CC6" w:rsidRDefault="002C0CC6" w:rsidP="002C0CC6">
      <w:pPr>
        <w:spacing w:line="360" w:lineRule="auto"/>
        <w:ind w:left="720"/>
        <w:jc w:val="both"/>
        <w:rPr>
          <w:rFonts w:asciiTheme="majorHAnsi" w:hAnsiTheme="majorHAnsi" w:cstheme="majorHAnsi"/>
          <w:lang w:val="en-US"/>
        </w:rPr>
      </w:pPr>
      <w:r w:rsidRPr="002C0CC6">
        <w:rPr>
          <w:rFonts w:asciiTheme="majorHAnsi" w:hAnsiTheme="majorHAnsi" w:cstheme="majorHAnsi"/>
          <w:lang w:val="en-US"/>
        </w:rPr>
        <w:t xml:space="preserve">● must be familiar with the investigated intervention, protocol, informed </w:t>
      </w:r>
      <w:proofErr w:type="gramStart"/>
      <w:r w:rsidRPr="002C0CC6">
        <w:rPr>
          <w:rFonts w:asciiTheme="majorHAnsi" w:hAnsiTheme="majorHAnsi" w:cstheme="majorHAnsi"/>
          <w:lang w:val="en-US"/>
        </w:rPr>
        <w:t>consent</w:t>
      </w:r>
      <w:proofErr w:type="gramEnd"/>
      <w:r w:rsidRPr="002C0CC6">
        <w:rPr>
          <w:rFonts w:asciiTheme="majorHAnsi" w:hAnsiTheme="majorHAnsi" w:cstheme="majorHAnsi"/>
          <w:lang w:val="en-US"/>
        </w:rPr>
        <w:t xml:space="preserve"> and any other written information to be provided to participants, standardized procedures, and good clinical practice guidelines.</w:t>
      </w:r>
    </w:p>
    <w:p w14:paraId="4739305A" w14:textId="77777777" w:rsidR="002C0CC6" w:rsidRPr="002C0CC6" w:rsidRDefault="002C0CC6" w:rsidP="002C0CC6">
      <w:pPr>
        <w:spacing w:line="360" w:lineRule="auto"/>
        <w:ind w:left="720"/>
        <w:jc w:val="both"/>
        <w:rPr>
          <w:rFonts w:asciiTheme="majorHAnsi" w:hAnsiTheme="majorHAnsi" w:cstheme="majorHAnsi"/>
          <w:lang w:val="en-US"/>
        </w:rPr>
      </w:pPr>
    </w:p>
    <w:p w14:paraId="7EDBA7F3" w14:textId="7800BE5D" w:rsidR="00A636C3" w:rsidRPr="002C0CC6" w:rsidRDefault="002C0CC6" w:rsidP="002C0CC6">
      <w:pPr>
        <w:spacing w:line="360" w:lineRule="auto"/>
        <w:ind w:left="720"/>
        <w:jc w:val="both"/>
        <w:rPr>
          <w:rFonts w:asciiTheme="majorHAnsi" w:hAnsiTheme="majorHAnsi" w:cstheme="majorHAnsi"/>
          <w:highlight w:val="white"/>
          <w:lang w:val="en-US"/>
        </w:rPr>
      </w:pPr>
      <w:r w:rsidRPr="002C0CC6">
        <w:rPr>
          <w:rFonts w:asciiTheme="majorHAnsi" w:hAnsiTheme="majorHAnsi" w:cstheme="majorHAnsi"/>
          <w:lang w:val="en-US"/>
        </w:rPr>
        <w:t>It is also up to the committee to define the monitoring method: in loco, centralized or a combination of both, if justified. The logic of the chosen monitoring strategy must be documented.</w:t>
      </w:r>
    </w:p>
    <w:tbl>
      <w:tblPr>
        <w:tblStyle w:val="7"/>
        <w:tblW w:w="9360" w:type="dxa"/>
        <w:tblInd w:w="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00" w:firstRow="0" w:lastRow="0" w:firstColumn="0" w:lastColumn="0" w:noHBand="0" w:noVBand="1"/>
      </w:tblPr>
      <w:tblGrid>
        <w:gridCol w:w="9360"/>
      </w:tblGrid>
      <w:tr w:rsidR="00A636C3" w:rsidRPr="002C0CC6" w14:paraId="31A68960" w14:textId="77777777">
        <w:tc>
          <w:tcPr>
            <w:tcW w:w="9360" w:type="dxa"/>
            <w:shd w:val="clear" w:color="auto" w:fill="F2F2F2"/>
          </w:tcPr>
          <w:p w14:paraId="4BC7236A" w14:textId="621A37AD" w:rsidR="00A636C3" w:rsidRPr="002C0CC6" w:rsidRDefault="002C0CC6">
            <w:pPr>
              <w:spacing w:after="160" w:line="360" w:lineRule="auto"/>
              <w:ind w:left="1080" w:hanging="909"/>
              <w:jc w:val="both"/>
              <w:rPr>
                <w:rFonts w:asciiTheme="majorHAnsi" w:hAnsiTheme="majorHAnsi" w:cstheme="majorHAnsi"/>
                <w:b/>
                <w:highlight w:val="yellow"/>
                <w:lang w:val="en-US"/>
              </w:rPr>
            </w:pPr>
            <w:r w:rsidRPr="002C0CC6">
              <w:rPr>
                <w:rFonts w:asciiTheme="majorHAnsi" w:hAnsiTheme="majorHAnsi" w:cstheme="majorHAnsi"/>
                <w:b/>
                <w:lang w:val="en-US"/>
              </w:rPr>
              <w:lastRenderedPageBreak/>
              <w:t>Objective 3. Evaluate the cost-effectiveness of biperiden</w:t>
            </w:r>
          </w:p>
        </w:tc>
      </w:tr>
    </w:tbl>
    <w:p w14:paraId="5CF108FB" w14:textId="77777777" w:rsidR="00A636C3" w:rsidRPr="002C0CC6" w:rsidRDefault="00A636C3">
      <w:pPr>
        <w:spacing w:line="360" w:lineRule="auto"/>
        <w:jc w:val="both"/>
        <w:rPr>
          <w:rFonts w:asciiTheme="majorHAnsi" w:hAnsiTheme="majorHAnsi" w:cstheme="majorHAnsi"/>
          <w:lang w:val="en-US"/>
        </w:rPr>
      </w:pPr>
    </w:p>
    <w:p w14:paraId="25F26E9C" w14:textId="22D6D060" w:rsidR="00A636C3" w:rsidRPr="00412E44" w:rsidRDefault="00DA6D78">
      <w:pPr>
        <w:spacing w:line="360" w:lineRule="auto"/>
        <w:jc w:val="both"/>
        <w:rPr>
          <w:rFonts w:asciiTheme="majorHAnsi" w:hAnsiTheme="majorHAnsi" w:cstheme="majorHAnsi"/>
          <w:b/>
          <w:lang w:val="pt-BR"/>
        </w:rPr>
      </w:pPr>
      <w:r w:rsidRPr="00412E44">
        <w:rPr>
          <w:rFonts w:asciiTheme="majorHAnsi" w:hAnsiTheme="majorHAnsi" w:cstheme="majorHAnsi"/>
          <w:b/>
          <w:lang w:val="pt-BR"/>
        </w:rPr>
        <w:t>Context</w:t>
      </w:r>
    </w:p>
    <w:p w14:paraId="608A1FF3" w14:textId="77777777" w:rsidR="00A636C3" w:rsidRPr="00412E44" w:rsidRDefault="00A636C3">
      <w:pPr>
        <w:spacing w:line="360" w:lineRule="auto"/>
        <w:jc w:val="both"/>
        <w:rPr>
          <w:rFonts w:asciiTheme="majorHAnsi" w:hAnsiTheme="majorHAnsi" w:cstheme="majorHAnsi"/>
          <w:lang w:val="pt-BR"/>
        </w:rPr>
      </w:pPr>
    </w:p>
    <w:p w14:paraId="084B63D0" w14:textId="77777777" w:rsidR="008A09CA" w:rsidRPr="008A09CA" w:rsidRDefault="008A09CA" w:rsidP="008A09CA">
      <w:pPr>
        <w:spacing w:line="360" w:lineRule="auto"/>
        <w:ind w:firstLine="720"/>
        <w:jc w:val="both"/>
        <w:rPr>
          <w:rFonts w:asciiTheme="majorHAnsi" w:hAnsiTheme="majorHAnsi" w:cstheme="majorHAnsi"/>
          <w:lang w:val="en-US"/>
        </w:rPr>
      </w:pPr>
      <w:r w:rsidRPr="008A09CA">
        <w:rPr>
          <w:rFonts w:asciiTheme="majorHAnsi" w:hAnsiTheme="majorHAnsi" w:cstheme="majorHAnsi"/>
          <w:lang w:val="en-US"/>
        </w:rPr>
        <w:t>Cost-effectiveness analysis is a type of economic evaluation that compares two or more treatment alternatives, in terms of associated costs and consequences. The cost-effectiveness analysis is performed only in situations in which the alternatives have already been evaluated, and the aspects of effectiveness and safety have been verified.</w:t>
      </w:r>
    </w:p>
    <w:p w14:paraId="75DE4958" w14:textId="03B6A273" w:rsidR="00A636C3" w:rsidRDefault="008A09CA" w:rsidP="008A09CA">
      <w:pPr>
        <w:spacing w:line="360" w:lineRule="auto"/>
        <w:ind w:firstLine="720"/>
        <w:jc w:val="both"/>
        <w:rPr>
          <w:rFonts w:asciiTheme="majorHAnsi" w:hAnsiTheme="majorHAnsi" w:cstheme="majorHAnsi"/>
          <w:lang w:val="en-US"/>
        </w:rPr>
      </w:pPr>
      <w:r w:rsidRPr="008A09CA">
        <w:rPr>
          <w:rFonts w:asciiTheme="majorHAnsi" w:hAnsiTheme="majorHAnsi" w:cstheme="majorHAnsi"/>
          <w:lang w:val="en-US"/>
        </w:rPr>
        <w:t>Thus, considering the above premise, the cost-effectiveness study will only be conducted if the results of the clinical trial have proven the effectiveness and safety of biperiden, in terms of statistical significance and clinical relevance. Thus, if carried out, the cost-effectiveness study will be designed and conducted after the period comprising the three-year period in which the project was initiated.</w:t>
      </w:r>
    </w:p>
    <w:p w14:paraId="1082C4E9" w14:textId="77777777" w:rsidR="008A09CA" w:rsidRPr="008A09CA" w:rsidRDefault="008A09CA" w:rsidP="008A09CA">
      <w:pPr>
        <w:spacing w:line="360" w:lineRule="auto"/>
        <w:jc w:val="both"/>
        <w:rPr>
          <w:rFonts w:asciiTheme="majorHAnsi" w:hAnsiTheme="majorHAnsi" w:cstheme="majorHAnsi"/>
          <w:lang w:val="en-US"/>
        </w:rPr>
      </w:pPr>
    </w:p>
    <w:p w14:paraId="1F8DFD14" w14:textId="77777777" w:rsidR="008A09CA" w:rsidRPr="008A09CA" w:rsidRDefault="008A09CA" w:rsidP="008A09CA">
      <w:pPr>
        <w:spacing w:line="360" w:lineRule="auto"/>
        <w:ind w:firstLine="720"/>
        <w:jc w:val="both"/>
        <w:rPr>
          <w:rFonts w:asciiTheme="majorHAnsi" w:hAnsiTheme="majorHAnsi" w:cstheme="majorHAnsi"/>
          <w:b/>
          <w:lang w:val="en-US"/>
        </w:rPr>
      </w:pPr>
      <w:r w:rsidRPr="008A09CA">
        <w:rPr>
          <w:rFonts w:asciiTheme="majorHAnsi" w:hAnsiTheme="majorHAnsi" w:cstheme="majorHAnsi"/>
          <w:b/>
          <w:lang w:val="en-US"/>
        </w:rPr>
        <w:t>Effectiveness data</w:t>
      </w:r>
    </w:p>
    <w:p w14:paraId="37E712B8" w14:textId="4BDB0B73" w:rsidR="00A636C3" w:rsidRDefault="008A09CA" w:rsidP="008A09CA">
      <w:pPr>
        <w:spacing w:line="360" w:lineRule="auto"/>
        <w:ind w:firstLine="720"/>
        <w:jc w:val="both"/>
        <w:rPr>
          <w:rFonts w:asciiTheme="majorHAnsi" w:hAnsiTheme="majorHAnsi" w:cstheme="majorHAnsi"/>
          <w:lang w:val="en-US"/>
        </w:rPr>
      </w:pPr>
      <w:r w:rsidRPr="008A09CA">
        <w:rPr>
          <w:rFonts w:asciiTheme="majorHAnsi" w:hAnsiTheme="majorHAnsi" w:cstheme="majorHAnsi"/>
          <w:lang w:val="en-US"/>
        </w:rPr>
        <w:t>For the economic evaluation, the effectiveness data obtained from the randomized clinical trial (</w:t>
      </w:r>
      <w:proofErr w:type="gramStart"/>
      <w:r w:rsidRPr="008A09CA">
        <w:rPr>
          <w:rFonts w:asciiTheme="majorHAnsi" w:hAnsiTheme="majorHAnsi" w:cstheme="majorHAnsi"/>
          <w:lang w:val="en-US"/>
        </w:rPr>
        <w:t>bottom up</w:t>
      </w:r>
      <w:proofErr w:type="gramEnd"/>
      <w:r w:rsidRPr="008A09CA">
        <w:rPr>
          <w:rFonts w:asciiTheme="majorHAnsi" w:hAnsiTheme="majorHAnsi" w:cstheme="majorHAnsi"/>
          <w:lang w:val="en-US"/>
        </w:rPr>
        <w:t xml:space="preserve"> approach) will be used [Drummond 2006; Glick 2015].</w:t>
      </w:r>
    </w:p>
    <w:p w14:paraId="2D5326C0" w14:textId="77777777" w:rsidR="008A09CA" w:rsidRPr="008A09CA" w:rsidRDefault="008A09CA" w:rsidP="008A09CA">
      <w:pPr>
        <w:spacing w:line="360" w:lineRule="auto"/>
        <w:ind w:firstLine="720"/>
        <w:jc w:val="both"/>
        <w:rPr>
          <w:rFonts w:asciiTheme="majorHAnsi" w:hAnsiTheme="majorHAnsi" w:cstheme="majorHAnsi"/>
          <w:lang w:val="en-US"/>
        </w:rPr>
      </w:pPr>
    </w:p>
    <w:p w14:paraId="35207E82" w14:textId="73F01B25" w:rsidR="008A09CA" w:rsidRPr="008A09CA" w:rsidRDefault="008A09CA" w:rsidP="008A09CA">
      <w:pPr>
        <w:spacing w:line="360" w:lineRule="auto"/>
        <w:ind w:firstLine="720"/>
        <w:jc w:val="both"/>
        <w:rPr>
          <w:rFonts w:asciiTheme="majorHAnsi" w:hAnsiTheme="majorHAnsi" w:cstheme="majorHAnsi"/>
          <w:b/>
          <w:lang w:val="en-US"/>
        </w:rPr>
      </w:pPr>
      <w:r w:rsidRPr="008A09CA">
        <w:rPr>
          <w:rFonts w:asciiTheme="majorHAnsi" w:hAnsiTheme="majorHAnsi" w:cstheme="majorHAnsi"/>
          <w:b/>
          <w:lang w:val="en-US"/>
        </w:rPr>
        <w:t>Cost data</w:t>
      </w:r>
    </w:p>
    <w:p w14:paraId="1CEC5B1B" w14:textId="77777777" w:rsidR="008A09CA" w:rsidRPr="008A09CA" w:rsidRDefault="008A09CA" w:rsidP="008A09CA">
      <w:pPr>
        <w:spacing w:line="360" w:lineRule="auto"/>
        <w:jc w:val="both"/>
        <w:rPr>
          <w:rFonts w:asciiTheme="majorHAnsi" w:hAnsiTheme="majorHAnsi" w:cstheme="majorHAnsi"/>
          <w:lang w:val="en-US"/>
        </w:rPr>
      </w:pPr>
      <w:r w:rsidRPr="008A09CA">
        <w:rPr>
          <w:rFonts w:asciiTheme="majorHAnsi" w:hAnsiTheme="majorHAnsi" w:cstheme="majorHAnsi"/>
          <w:lang w:val="en-US"/>
        </w:rPr>
        <w:t>The measurement of costs will occur in three stages, specifically</w:t>
      </w:r>
    </w:p>
    <w:p w14:paraId="326FE0A5" w14:textId="77777777" w:rsidR="008A09CA" w:rsidRPr="008A09CA" w:rsidRDefault="008A09CA" w:rsidP="008A09CA">
      <w:pPr>
        <w:spacing w:line="360" w:lineRule="auto"/>
        <w:jc w:val="both"/>
        <w:rPr>
          <w:rFonts w:asciiTheme="majorHAnsi" w:hAnsiTheme="majorHAnsi" w:cstheme="majorHAnsi"/>
          <w:lang w:val="en-US"/>
        </w:rPr>
      </w:pPr>
      <w:r w:rsidRPr="008A09CA">
        <w:rPr>
          <w:rFonts w:asciiTheme="majorHAnsi" w:hAnsiTheme="majorHAnsi" w:cstheme="majorHAnsi"/>
          <w:lang w:val="en-US"/>
        </w:rPr>
        <w:t>(</w:t>
      </w:r>
      <w:proofErr w:type="spellStart"/>
      <w:r w:rsidRPr="008A09CA">
        <w:rPr>
          <w:rFonts w:asciiTheme="majorHAnsi" w:hAnsiTheme="majorHAnsi" w:cstheme="majorHAnsi"/>
          <w:lang w:val="en-US"/>
        </w:rPr>
        <w:t>i</w:t>
      </w:r>
      <w:proofErr w:type="spellEnd"/>
      <w:r w:rsidRPr="008A09CA">
        <w:rPr>
          <w:rFonts w:asciiTheme="majorHAnsi" w:hAnsiTheme="majorHAnsi" w:cstheme="majorHAnsi"/>
          <w:lang w:val="en-US"/>
        </w:rPr>
        <w:t>) identification of the type of resource used by each participant (</w:t>
      </w:r>
      <w:proofErr w:type="spellStart"/>
      <w:r w:rsidRPr="008A09CA">
        <w:rPr>
          <w:rFonts w:asciiTheme="majorHAnsi" w:hAnsiTheme="majorHAnsi" w:cstheme="majorHAnsi"/>
          <w:lang w:val="en-US"/>
        </w:rPr>
        <w:t>eg</w:t>
      </w:r>
      <w:proofErr w:type="spellEnd"/>
      <w:r w:rsidRPr="008A09CA">
        <w:rPr>
          <w:rFonts w:asciiTheme="majorHAnsi" w:hAnsiTheme="majorHAnsi" w:cstheme="majorHAnsi"/>
          <w:lang w:val="en-US"/>
        </w:rPr>
        <w:t>, daily stay in the ICU, complementary exams, medication).</w:t>
      </w:r>
    </w:p>
    <w:p w14:paraId="0909D883" w14:textId="77777777" w:rsidR="008A09CA" w:rsidRPr="008A09CA" w:rsidRDefault="008A09CA" w:rsidP="008A09CA">
      <w:pPr>
        <w:spacing w:line="360" w:lineRule="auto"/>
        <w:jc w:val="both"/>
        <w:rPr>
          <w:rFonts w:asciiTheme="majorHAnsi" w:hAnsiTheme="majorHAnsi" w:cstheme="majorHAnsi"/>
          <w:lang w:val="en-US"/>
        </w:rPr>
      </w:pPr>
      <w:r w:rsidRPr="008A09CA">
        <w:rPr>
          <w:rFonts w:asciiTheme="majorHAnsi" w:hAnsiTheme="majorHAnsi" w:cstheme="majorHAnsi"/>
          <w:lang w:val="en-US"/>
        </w:rPr>
        <w:t>(ii) quantification of resources used (resource consumption)</w:t>
      </w:r>
    </w:p>
    <w:p w14:paraId="59C3C067" w14:textId="77777777" w:rsidR="008A09CA" w:rsidRPr="008A09CA" w:rsidRDefault="008A09CA" w:rsidP="008A09CA">
      <w:pPr>
        <w:spacing w:line="360" w:lineRule="auto"/>
        <w:jc w:val="both"/>
        <w:rPr>
          <w:rFonts w:asciiTheme="majorHAnsi" w:hAnsiTheme="majorHAnsi" w:cstheme="majorHAnsi"/>
          <w:lang w:val="en-US"/>
        </w:rPr>
      </w:pPr>
      <w:r w:rsidRPr="008A09CA">
        <w:rPr>
          <w:rFonts w:asciiTheme="majorHAnsi" w:hAnsiTheme="majorHAnsi" w:cstheme="majorHAnsi"/>
          <w:lang w:val="en-US"/>
        </w:rPr>
        <w:t>(iii) allocation of financial values ​​for each resource used.</w:t>
      </w:r>
    </w:p>
    <w:p w14:paraId="5D876457" w14:textId="45B90CB4" w:rsidR="00A636C3" w:rsidRPr="00412E44" w:rsidRDefault="008A09CA" w:rsidP="008A09CA">
      <w:pPr>
        <w:spacing w:line="360" w:lineRule="auto"/>
        <w:jc w:val="both"/>
        <w:rPr>
          <w:rFonts w:asciiTheme="majorHAnsi" w:hAnsiTheme="majorHAnsi" w:cstheme="majorHAnsi"/>
          <w:b/>
          <w:lang w:val="pt-BR"/>
        </w:rPr>
      </w:pPr>
      <w:r w:rsidRPr="008A09CA">
        <w:rPr>
          <w:rFonts w:asciiTheme="majorHAnsi" w:hAnsiTheme="majorHAnsi" w:cstheme="majorHAnsi"/>
          <w:lang w:val="en-US"/>
        </w:rPr>
        <w:t xml:space="preserve">Considering that the execution of this study depends on the confirmation of the effectiveness and safety of biperiden determined by the clinical trial, the cost data referring to items (ii) and (iii) will not be collected during the clinical </w:t>
      </w:r>
      <w:proofErr w:type="gramStart"/>
      <w:r w:rsidRPr="008A09CA">
        <w:rPr>
          <w:rFonts w:asciiTheme="majorHAnsi" w:hAnsiTheme="majorHAnsi" w:cstheme="majorHAnsi"/>
          <w:lang w:val="en-US"/>
        </w:rPr>
        <w:t>trial, and</w:t>
      </w:r>
      <w:proofErr w:type="gramEnd"/>
      <w:r w:rsidRPr="008A09CA">
        <w:rPr>
          <w:rFonts w:asciiTheme="majorHAnsi" w:hAnsiTheme="majorHAnsi" w:cstheme="majorHAnsi"/>
          <w:lang w:val="en-US"/>
        </w:rPr>
        <w:t xml:space="preserve"> may be collected later from the centers themselves participants or may originate from other sources, such as the average amounts paid by SUS. </w:t>
      </w:r>
      <w:r w:rsidRPr="008A09CA">
        <w:rPr>
          <w:rFonts w:asciiTheme="majorHAnsi" w:hAnsiTheme="majorHAnsi" w:cstheme="majorHAnsi"/>
          <w:lang w:val="pt-BR"/>
        </w:rPr>
        <w:t>All sources used will be explicitly presented.</w:t>
      </w:r>
    </w:p>
    <w:p w14:paraId="01A28ECB" w14:textId="77777777" w:rsidR="006E5BC9" w:rsidRDefault="006E5BC9" w:rsidP="00604E11">
      <w:pPr>
        <w:spacing w:line="360" w:lineRule="auto"/>
        <w:ind w:firstLine="720"/>
        <w:jc w:val="both"/>
        <w:rPr>
          <w:rFonts w:asciiTheme="majorHAnsi" w:hAnsiTheme="majorHAnsi" w:cstheme="majorHAnsi"/>
          <w:b/>
          <w:lang w:val="pt-BR"/>
        </w:rPr>
      </w:pPr>
      <w:r w:rsidRPr="006E5BC9">
        <w:rPr>
          <w:rFonts w:asciiTheme="majorHAnsi" w:hAnsiTheme="majorHAnsi" w:cstheme="majorHAnsi"/>
          <w:b/>
          <w:lang w:val="pt-BR"/>
        </w:rPr>
        <w:t>Modeling</w:t>
      </w:r>
    </w:p>
    <w:p w14:paraId="17C950C9" w14:textId="7C3C8769" w:rsidR="00A636C3" w:rsidRDefault="006E5BC9" w:rsidP="006E5BC9">
      <w:pPr>
        <w:spacing w:line="360" w:lineRule="auto"/>
        <w:ind w:firstLine="720"/>
        <w:jc w:val="both"/>
        <w:rPr>
          <w:rFonts w:asciiTheme="majorHAnsi" w:hAnsiTheme="majorHAnsi" w:cstheme="majorHAnsi"/>
          <w:lang w:val="en-US"/>
        </w:rPr>
      </w:pPr>
      <w:r w:rsidRPr="006E5BC9">
        <w:rPr>
          <w:rFonts w:asciiTheme="majorHAnsi" w:hAnsiTheme="majorHAnsi" w:cstheme="majorHAnsi"/>
          <w:lang w:val="en-US"/>
        </w:rPr>
        <w:t xml:space="preserve">The modeling will be carried out with a decision tree model, using </w:t>
      </w:r>
      <w:proofErr w:type="spellStart"/>
      <w:r w:rsidRPr="006E5BC9">
        <w:rPr>
          <w:rFonts w:asciiTheme="majorHAnsi" w:hAnsiTheme="majorHAnsi" w:cstheme="majorHAnsi"/>
          <w:lang w:val="en-US"/>
        </w:rPr>
        <w:t>TreeAge</w:t>
      </w:r>
      <w:proofErr w:type="spellEnd"/>
      <w:r w:rsidRPr="006E5BC9">
        <w:rPr>
          <w:rFonts w:asciiTheme="majorHAnsi" w:hAnsiTheme="majorHAnsi" w:cstheme="majorHAnsi"/>
          <w:lang w:val="en-US"/>
        </w:rPr>
        <w:t>, R or Excel software.</w:t>
      </w:r>
    </w:p>
    <w:p w14:paraId="3923CCBE" w14:textId="77777777" w:rsidR="006E5BC9" w:rsidRPr="006E5BC9" w:rsidRDefault="006E5BC9">
      <w:pPr>
        <w:spacing w:line="360" w:lineRule="auto"/>
        <w:jc w:val="both"/>
        <w:rPr>
          <w:rFonts w:asciiTheme="majorHAnsi" w:hAnsiTheme="majorHAnsi" w:cstheme="majorHAnsi"/>
          <w:b/>
          <w:lang w:val="en-US"/>
        </w:rPr>
      </w:pPr>
    </w:p>
    <w:p w14:paraId="0EEF8E5C" w14:textId="77777777" w:rsidR="006E5BC9" w:rsidRPr="006E5BC9" w:rsidRDefault="006E5BC9" w:rsidP="006E5BC9">
      <w:pPr>
        <w:spacing w:line="360" w:lineRule="auto"/>
        <w:ind w:firstLine="720"/>
        <w:jc w:val="both"/>
        <w:rPr>
          <w:rFonts w:asciiTheme="majorHAnsi" w:hAnsiTheme="majorHAnsi" w:cstheme="majorHAnsi"/>
          <w:b/>
          <w:lang w:val="en-US"/>
        </w:rPr>
      </w:pPr>
      <w:r w:rsidRPr="006E5BC9">
        <w:rPr>
          <w:rFonts w:asciiTheme="majorHAnsi" w:hAnsiTheme="majorHAnsi" w:cstheme="majorHAnsi"/>
          <w:b/>
          <w:lang w:val="en-US"/>
        </w:rPr>
        <w:lastRenderedPageBreak/>
        <w:t>Planned main outcome</w:t>
      </w:r>
    </w:p>
    <w:p w14:paraId="3A30CF7E" w14:textId="2A21DCDA" w:rsidR="00A636C3" w:rsidRDefault="006E5BC9" w:rsidP="006E5BC9">
      <w:pPr>
        <w:spacing w:line="360" w:lineRule="auto"/>
        <w:ind w:firstLine="720"/>
        <w:jc w:val="both"/>
        <w:rPr>
          <w:rFonts w:asciiTheme="majorHAnsi" w:hAnsiTheme="majorHAnsi" w:cstheme="majorHAnsi"/>
          <w:lang w:val="en-US"/>
        </w:rPr>
      </w:pPr>
      <w:r w:rsidRPr="006E5BC9">
        <w:rPr>
          <w:rFonts w:asciiTheme="majorHAnsi" w:hAnsiTheme="majorHAnsi" w:cstheme="majorHAnsi"/>
          <w:lang w:val="en-US"/>
        </w:rPr>
        <w:t>The cost-effectiveness analysis will be based on the incremental cost-effectiveness ratio between the two interventions compared in the clinical trial.</w:t>
      </w:r>
    </w:p>
    <w:p w14:paraId="70225B74" w14:textId="77777777" w:rsidR="006E5BC9" w:rsidRPr="006E5BC9" w:rsidRDefault="006E5BC9" w:rsidP="006E5BC9">
      <w:pPr>
        <w:spacing w:line="360" w:lineRule="auto"/>
        <w:ind w:firstLine="720"/>
        <w:jc w:val="both"/>
        <w:rPr>
          <w:rFonts w:asciiTheme="majorHAnsi" w:hAnsiTheme="majorHAnsi" w:cstheme="majorHAnsi"/>
          <w:lang w:val="en-US"/>
        </w:rPr>
      </w:pPr>
    </w:p>
    <w:p w14:paraId="4BA02CB3" w14:textId="77777777" w:rsidR="006E5BC9" w:rsidRDefault="006E5BC9" w:rsidP="006E5BC9">
      <w:pPr>
        <w:spacing w:line="360" w:lineRule="auto"/>
        <w:ind w:firstLine="720"/>
        <w:jc w:val="both"/>
        <w:rPr>
          <w:rFonts w:asciiTheme="majorHAnsi" w:hAnsiTheme="majorHAnsi" w:cstheme="majorHAnsi"/>
          <w:b/>
          <w:lang w:val="pt-BR"/>
        </w:rPr>
      </w:pPr>
      <w:r>
        <w:rPr>
          <w:rFonts w:asciiTheme="majorHAnsi" w:hAnsiTheme="majorHAnsi" w:cstheme="majorHAnsi"/>
          <w:b/>
          <w:lang w:val="pt-BR"/>
        </w:rPr>
        <w:t>T</w:t>
      </w:r>
      <w:r w:rsidRPr="006E5BC9">
        <w:rPr>
          <w:rFonts w:asciiTheme="majorHAnsi" w:hAnsiTheme="majorHAnsi" w:cstheme="majorHAnsi"/>
          <w:b/>
          <w:lang w:val="pt-BR"/>
        </w:rPr>
        <w:t>ime horizon</w:t>
      </w:r>
    </w:p>
    <w:p w14:paraId="75FECBB4" w14:textId="0A364939" w:rsidR="00A636C3" w:rsidRDefault="006E5BC9" w:rsidP="006E5BC9">
      <w:pPr>
        <w:spacing w:line="360" w:lineRule="auto"/>
        <w:ind w:firstLine="720"/>
        <w:jc w:val="both"/>
        <w:rPr>
          <w:rFonts w:asciiTheme="majorHAnsi" w:hAnsiTheme="majorHAnsi" w:cstheme="majorHAnsi"/>
          <w:lang w:val="en-US"/>
        </w:rPr>
      </w:pPr>
      <w:r w:rsidRPr="006E5BC9">
        <w:rPr>
          <w:rFonts w:asciiTheme="majorHAnsi" w:hAnsiTheme="majorHAnsi" w:cstheme="majorHAnsi"/>
          <w:lang w:val="en-US"/>
        </w:rPr>
        <w:t>The time horizon to be evaluated will be two years, considering the follow-up time of the clinical trial participants.</w:t>
      </w:r>
    </w:p>
    <w:p w14:paraId="5FA3B7DE" w14:textId="77777777" w:rsidR="006E5BC9" w:rsidRPr="006E5BC9" w:rsidRDefault="006E5BC9" w:rsidP="006E5BC9">
      <w:pPr>
        <w:spacing w:line="360" w:lineRule="auto"/>
        <w:ind w:firstLine="720"/>
        <w:jc w:val="both"/>
        <w:rPr>
          <w:rFonts w:asciiTheme="majorHAnsi" w:hAnsiTheme="majorHAnsi" w:cstheme="majorHAnsi"/>
          <w:lang w:val="en-US"/>
        </w:rPr>
      </w:pPr>
    </w:p>
    <w:p w14:paraId="2BFB037A" w14:textId="77777777" w:rsidR="006E5BC9" w:rsidRDefault="006E5BC9" w:rsidP="006E5BC9">
      <w:pPr>
        <w:spacing w:line="360" w:lineRule="auto"/>
        <w:ind w:firstLine="720"/>
        <w:jc w:val="both"/>
        <w:rPr>
          <w:rFonts w:asciiTheme="majorHAnsi" w:hAnsiTheme="majorHAnsi" w:cstheme="majorHAnsi"/>
          <w:b/>
          <w:lang w:val="pt-BR"/>
        </w:rPr>
      </w:pPr>
      <w:r w:rsidRPr="006E5BC9">
        <w:rPr>
          <w:rFonts w:asciiTheme="majorHAnsi" w:hAnsiTheme="majorHAnsi" w:cstheme="majorHAnsi"/>
          <w:b/>
          <w:lang w:val="pt-BR"/>
        </w:rPr>
        <w:t>Discount rate</w:t>
      </w:r>
    </w:p>
    <w:p w14:paraId="293B356B" w14:textId="37197470" w:rsidR="00A636C3" w:rsidRDefault="006E5BC9" w:rsidP="006E5BC9">
      <w:pPr>
        <w:spacing w:line="360" w:lineRule="auto"/>
        <w:ind w:firstLine="720"/>
        <w:jc w:val="both"/>
        <w:rPr>
          <w:rFonts w:asciiTheme="majorHAnsi" w:hAnsiTheme="majorHAnsi" w:cstheme="majorHAnsi"/>
          <w:lang w:val="en-US"/>
        </w:rPr>
      </w:pPr>
      <w:r w:rsidRPr="006E5BC9">
        <w:rPr>
          <w:rFonts w:asciiTheme="majorHAnsi" w:hAnsiTheme="majorHAnsi" w:cstheme="majorHAnsi"/>
          <w:lang w:val="en-US"/>
        </w:rPr>
        <w:t>A discount rate of 5% will be used, both for the costs incurred and for the clinical effects observed in the second year of follow-up.</w:t>
      </w:r>
    </w:p>
    <w:p w14:paraId="6694CDA5" w14:textId="77777777" w:rsidR="006E5BC9" w:rsidRPr="006E5BC9" w:rsidRDefault="006E5BC9" w:rsidP="006E5BC9">
      <w:pPr>
        <w:spacing w:line="360" w:lineRule="auto"/>
        <w:ind w:firstLine="720"/>
        <w:jc w:val="both"/>
        <w:rPr>
          <w:rFonts w:asciiTheme="majorHAnsi" w:hAnsiTheme="majorHAnsi" w:cstheme="majorHAnsi"/>
          <w:lang w:val="en-US"/>
        </w:rPr>
      </w:pPr>
    </w:p>
    <w:p w14:paraId="5F7D0A62" w14:textId="6510637B" w:rsidR="00A636C3" w:rsidRPr="00412E44" w:rsidRDefault="00DA6D78" w:rsidP="006E5BC9">
      <w:pPr>
        <w:spacing w:line="360" w:lineRule="auto"/>
        <w:ind w:firstLine="720"/>
        <w:jc w:val="both"/>
        <w:rPr>
          <w:rFonts w:asciiTheme="majorHAnsi" w:hAnsiTheme="majorHAnsi" w:cstheme="majorHAnsi"/>
          <w:b/>
          <w:lang w:val="pt-BR"/>
        </w:rPr>
      </w:pPr>
      <w:r w:rsidRPr="00412E44">
        <w:rPr>
          <w:rFonts w:asciiTheme="majorHAnsi" w:hAnsiTheme="majorHAnsi" w:cstheme="majorHAnsi"/>
          <w:b/>
          <w:lang w:val="pt-BR"/>
        </w:rPr>
        <w:t>Perspectiv</w:t>
      </w:r>
      <w:r w:rsidR="006E5BC9">
        <w:rPr>
          <w:rFonts w:asciiTheme="majorHAnsi" w:hAnsiTheme="majorHAnsi" w:cstheme="majorHAnsi"/>
          <w:b/>
          <w:lang w:val="pt-BR"/>
        </w:rPr>
        <w:t>e</w:t>
      </w:r>
    </w:p>
    <w:p w14:paraId="683A1F30" w14:textId="77777777" w:rsidR="006E5BC9" w:rsidRPr="006E5BC9" w:rsidRDefault="006E5BC9" w:rsidP="006E5BC9">
      <w:pPr>
        <w:spacing w:line="360" w:lineRule="auto"/>
        <w:ind w:firstLine="720"/>
        <w:jc w:val="both"/>
        <w:rPr>
          <w:rFonts w:asciiTheme="majorHAnsi" w:hAnsiTheme="majorHAnsi" w:cstheme="majorHAnsi"/>
          <w:lang w:val="en-US"/>
        </w:rPr>
      </w:pPr>
      <w:r w:rsidRPr="006E5BC9">
        <w:rPr>
          <w:rFonts w:asciiTheme="majorHAnsi" w:hAnsiTheme="majorHAnsi" w:cstheme="majorHAnsi"/>
          <w:lang w:val="en-US"/>
        </w:rPr>
        <w:t>The perspective of the cost-effectiveness analysis will be that of the SUS. This perspective will guide the resources to be considered in the analysis. Expenses incurred by other parties, such as expenses borne by the research participant, will therefore be excluded from the analysis.</w:t>
      </w:r>
    </w:p>
    <w:p w14:paraId="13C5399F" w14:textId="505208BB" w:rsidR="00A636C3" w:rsidRDefault="006E5BC9" w:rsidP="006E5BC9">
      <w:pPr>
        <w:spacing w:line="360" w:lineRule="auto"/>
        <w:ind w:firstLine="720"/>
        <w:jc w:val="both"/>
        <w:rPr>
          <w:rFonts w:asciiTheme="majorHAnsi" w:hAnsiTheme="majorHAnsi" w:cstheme="majorHAnsi"/>
          <w:lang w:val="en-US"/>
        </w:rPr>
      </w:pPr>
      <w:r w:rsidRPr="006E5BC9">
        <w:rPr>
          <w:rFonts w:asciiTheme="majorHAnsi" w:hAnsiTheme="majorHAnsi" w:cstheme="majorHAnsi"/>
          <w:lang w:val="en-US"/>
        </w:rPr>
        <w:t>The inclusion of indirect costs in the analysis, such as administrative costs, will depend on the availability of this data.</w:t>
      </w:r>
    </w:p>
    <w:p w14:paraId="7625DD33" w14:textId="77777777" w:rsidR="006E5BC9" w:rsidRPr="006E5BC9" w:rsidRDefault="006E5BC9" w:rsidP="006E5BC9">
      <w:pPr>
        <w:spacing w:line="360" w:lineRule="auto"/>
        <w:ind w:firstLine="720"/>
        <w:jc w:val="both"/>
        <w:rPr>
          <w:rFonts w:asciiTheme="majorHAnsi" w:hAnsiTheme="majorHAnsi" w:cstheme="majorHAnsi"/>
          <w:b/>
          <w:lang w:val="en-US"/>
        </w:rPr>
      </w:pPr>
    </w:p>
    <w:p w14:paraId="06CCDCF0" w14:textId="77777777" w:rsidR="006E5BC9" w:rsidRPr="006E5BC9" w:rsidRDefault="006E5BC9" w:rsidP="006E5BC9">
      <w:pPr>
        <w:spacing w:line="360" w:lineRule="auto"/>
        <w:ind w:firstLine="720"/>
        <w:jc w:val="both"/>
        <w:rPr>
          <w:rFonts w:asciiTheme="majorHAnsi" w:hAnsiTheme="majorHAnsi" w:cstheme="majorHAnsi"/>
          <w:b/>
          <w:lang w:val="en-US"/>
        </w:rPr>
      </w:pPr>
      <w:r w:rsidRPr="006E5BC9">
        <w:rPr>
          <w:rFonts w:asciiTheme="majorHAnsi" w:hAnsiTheme="majorHAnsi" w:cstheme="majorHAnsi"/>
          <w:b/>
          <w:lang w:val="en-US"/>
        </w:rPr>
        <w:t>Sensitivity analyzes</w:t>
      </w:r>
    </w:p>
    <w:p w14:paraId="02075088" w14:textId="77777777" w:rsidR="006E5BC9" w:rsidRPr="006E5BC9" w:rsidRDefault="006E5BC9" w:rsidP="006E5BC9">
      <w:pPr>
        <w:spacing w:line="360" w:lineRule="auto"/>
        <w:ind w:firstLine="360"/>
        <w:jc w:val="both"/>
        <w:rPr>
          <w:rFonts w:asciiTheme="majorHAnsi" w:hAnsiTheme="majorHAnsi" w:cstheme="majorHAnsi"/>
          <w:bCs/>
          <w:lang w:val="en-US"/>
        </w:rPr>
      </w:pPr>
      <w:r w:rsidRPr="006E5BC9">
        <w:rPr>
          <w:rFonts w:asciiTheme="majorHAnsi" w:hAnsiTheme="majorHAnsi" w:cstheme="majorHAnsi"/>
          <w:bCs/>
          <w:lang w:val="en-US"/>
        </w:rPr>
        <w:t>Deterministic and probabilistic sensitivity analyzes will be performed to reduce the uncertainty associated with the model parameters.</w:t>
      </w:r>
    </w:p>
    <w:p w14:paraId="6DA92B79" w14:textId="77777777" w:rsidR="006E5BC9" w:rsidRPr="006E5BC9" w:rsidRDefault="006E5BC9" w:rsidP="006E5BC9">
      <w:pPr>
        <w:spacing w:line="360" w:lineRule="auto"/>
        <w:ind w:firstLine="360"/>
        <w:jc w:val="both"/>
        <w:rPr>
          <w:rFonts w:asciiTheme="majorHAnsi" w:hAnsiTheme="majorHAnsi" w:cstheme="majorHAnsi"/>
          <w:bCs/>
          <w:lang w:val="en-US"/>
        </w:rPr>
      </w:pPr>
      <w:r w:rsidRPr="006E5BC9">
        <w:rPr>
          <w:rFonts w:asciiTheme="majorHAnsi" w:hAnsiTheme="majorHAnsi" w:cstheme="majorHAnsi"/>
          <w:bCs/>
          <w:lang w:val="en-US"/>
        </w:rPr>
        <w:t>Deterministic sensitivity analyzes will be performed with variation of discount rates and values ​​of resources obtained from different sources:</w:t>
      </w:r>
    </w:p>
    <w:p w14:paraId="0DF5B866" w14:textId="77777777" w:rsidR="006E5BC9" w:rsidRPr="006E5BC9" w:rsidRDefault="006E5BC9" w:rsidP="006E5BC9">
      <w:pPr>
        <w:spacing w:line="360" w:lineRule="auto"/>
        <w:ind w:left="360" w:hanging="360"/>
        <w:jc w:val="both"/>
        <w:rPr>
          <w:rFonts w:asciiTheme="majorHAnsi" w:hAnsiTheme="majorHAnsi" w:cstheme="majorHAnsi"/>
          <w:bCs/>
          <w:lang w:val="en-US"/>
        </w:rPr>
      </w:pPr>
      <w:r w:rsidRPr="006E5BC9">
        <w:rPr>
          <w:rFonts w:asciiTheme="majorHAnsi" w:hAnsiTheme="majorHAnsi" w:cstheme="majorHAnsi"/>
          <w:bCs/>
          <w:lang w:val="en-US"/>
        </w:rPr>
        <w:t xml:space="preserve">● Regarding the discount rate: the values ​​of 3% and 7% will be applied, for costs and clinical effects, in the second year of </w:t>
      </w:r>
      <w:proofErr w:type="gramStart"/>
      <w:r w:rsidRPr="006E5BC9">
        <w:rPr>
          <w:rFonts w:asciiTheme="majorHAnsi" w:hAnsiTheme="majorHAnsi" w:cstheme="majorHAnsi"/>
          <w:bCs/>
          <w:lang w:val="en-US"/>
        </w:rPr>
        <w:t>treatment;</w:t>
      </w:r>
      <w:proofErr w:type="gramEnd"/>
    </w:p>
    <w:p w14:paraId="26AFD9C7" w14:textId="77777777" w:rsidR="006E5BC9" w:rsidRPr="006E5BC9" w:rsidRDefault="006E5BC9" w:rsidP="006E5BC9">
      <w:pPr>
        <w:spacing w:line="360" w:lineRule="auto"/>
        <w:ind w:left="360" w:hanging="360"/>
        <w:jc w:val="both"/>
        <w:rPr>
          <w:rFonts w:asciiTheme="majorHAnsi" w:hAnsiTheme="majorHAnsi" w:cstheme="majorHAnsi"/>
          <w:bCs/>
          <w:lang w:val="en-US"/>
        </w:rPr>
      </w:pPr>
      <w:r w:rsidRPr="006E5BC9">
        <w:rPr>
          <w:rFonts w:asciiTheme="majorHAnsi" w:hAnsiTheme="majorHAnsi" w:cstheme="majorHAnsi"/>
          <w:bCs/>
          <w:lang w:val="en-US"/>
        </w:rPr>
        <w:t>● Regarding the assumed costs: variations of 10% will be applied upwards and downwards from the initial values ​​determined.</w:t>
      </w:r>
    </w:p>
    <w:p w14:paraId="7FFE416A" w14:textId="7B2C3ACE" w:rsidR="00A636C3" w:rsidRDefault="006E5BC9" w:rsidP="006E5BC9">
      <w:pPr>
        <w:spacing w:line="360" w:lineRule="auto"/>
        <w:ind w:left="360"/>
        <w:jc w:val="both"/>
        <w:rPr>
          <w:rFonts w:asciiTheme="majorHAnsi" w:hAnsiTheme="majorHAnsi" w:cstheme="majorHAnsi"/>
          <w:bCs/>
          <w:lang w:val="en-US"/>
        </w:rPr>
      </w:pPr>
      <w:r w:rsidRPr="006E5BC9">
        <w:rPr>
          <w:rFonts w:asciiTheme="majorHAnsi" w:hAnsiTheme="majorHAnsi" w:cstheme="majorHAnsi"/>
          <w:bCs/>
          <w:lang w:val="en-US"/>
        </w:rPr>
        <w:t>Probabilistic sensitivity analyzes will be performed by Monte Carlo simulations, with 1000 iterations, using the gamma distribution for costs and the normal distribution for clinical effects.</w:t>
      </w:r>
    </w:p>
    <w:p w14:paraId="6AD8E4AC" w14:textId="77777777" w:rsidR="006E5BC9" w:rsidRPr="006E5BC9" w:rsidRDefault="006E5BC9" w:rsidP="006E5BC9">
      <w:pPr>
        <w:spacing w:line="360" w:lineRule="auto"/>
        <w:ind w:left="360"/>
        <w:jc w:val="both"/>
        <w:rPr>
          <w:rFonts w:asciiTheme="majorHAnsi" w:hAnsiTheme="majorHAnsi" w:cstheme="majorHAnsi"/>
          <w:bCs/>
          <w:lang w:val="en-US"/>
        </w:rPr>
      </w:pPr>
    </w:p>
    <w:p w14:paraId="4857C2FE" w14:textId="601B68C7" w:rsidR="006E5BC9" w:rsidRPr="006E5BC9" w:rsidRDefault="006E5BC9" w:rsidP="00D120E3">
      <w:pPr>
        <w:numPr>
          <w:ilvl w:val="0"/>
          <w:numId w:val="12"/>
        </w:numPr>
        <w:spacing w:after="160" w:line="360" w:lineRule="auto"/>
        <w:jc w:val="both"/>
        <w:rPr>
          <w:rFonts w:asciiTheme="majorHAnsi" w:hAnsiTheme="majorHAnsi" w:cstheme="majorHAnsi"/>
          <w:b/>
          <w:lang w:val="en-US"/>
        </w:rPr>
      </w:pPr>
      <w:r w:rsidRPr="006E5BC9">
        <w:rPr>
          <w:rFonts w:asciiTheme="majorHAnsi" w:hAnsiTheme="majorHAnsi" w:cstheme="majorHAnsi"/>
          <w:b/>
          <w:lang w:val="en-US"/>
        </w:rPr>
        <w:t>DELIVERY SCHEDULE, ACTIVITIES AND MILESTONES</w:t>
      </w:r>
    </w:p>
    <w:p w14:paraId="407EF8BC" w14:textId="77777777" w:rsidR="006E5BC9" w:rsidRPr="006E5BC9" w:rsidRDefault="006E5BC9" w:rsidP="006E5BC9">
      <w:pPr>
        <w:spacing w:before="240" w:after="240" w:line="360" w:lineRule="auto"/>
        <w:ind w:firstLine="720"/>
        <w:rPr>
          <w:rFonts w:asciiTheme="majorHAnsi" w:hAnsiTheme="majorHAnsi" w:cstheme="majorHAnsi"/>
          <w:lang w:val="en-US"/>
        </w:rPr>
      </w:pPr>
      <w:r w:rsidRPr="006E5BC9">
        <w:rPr>
          <w:rFonts w:asciiTheme="majorHAnsi" w:hAnsiTheme="majorHAnsi" w:cstheme="majorHAnsi"/>
          <w:lang w:val="en-US"/>
        </w:rPr>
        <w:lastRenderedPageBreak/>
        <w:t>In view of the above, below, the updated complete schedule of the project for execution in the current triennium (2021-2023).</w:t>
      </w:r>
    </w:p>
    <w:p w14:paraId="2EE7C948" w14:textId="77777777" w:rsidR="006E5BC9" w:rsidRDefault="006E5BC9" w:rsidP="006E5BC9">
      <w:pPr>
        <w:spacing w:before="240" w:after="240" w:line="360" w:lineRule="auto"/>
        <w:ind w:firstLine="720"/>
        <w:rPr>
          <w:rFonts w:asciiTheme="majorHAnsi" w:hAnsiTheme="majorHAnsi" w:cstheme="majorHAnsi"/>
          <w:lang w:val="en-US"/>
        </w:rPr>
      </w:pPr>
      <w:r w:rsidRPr="006E5BC9">
        <w:rPr>
          <w:rFonts w:asciiTheme="majorHAnsi" w:hAnsiTheme="majorHAnsi" w:cstheme="majorHAnsi"/>
          <w:lang w:val="en-US"/>
        </w:rPr>
        <w:t>All efforts will be focused on completing the study in 2023, however, if we are not successful in the patient inclusion stage, with the number of patients included below the expected for the period, an additional period may be requested in the subsequent triennium, to complete the study.</w:t>
      </w:r>
    </w:p>
    <w:p w14:paraId="77B387F3" w14:textId="3E8698BA" w:rsidR="00E92AF3" w:rsidRPr="006E5BC9" w:rsidRDefault="006E5BC9" w:rsidP="001A74EE">
      <w:pPr>
        <w:spacing w:before="240" w:after="240" w:line="360" w:lineRule="auto"/>
        <w:rPr>
          <w:rFonts w:asciiTheme="majorHAnsi" w:hAnsiTheme="majorHAnsi" w:cstheme="majorHAnsi"/>
          <w:b/>
          <w:sz w:val="20"/>
          <w:szCs w:val="24"/>
          <w:u w:val="single"/>
          <w:lang w:val="en-US"/>
        </w:rPr>
      </w:pPr>
      <w:r w:rsidRPr="006E5BC9">
        <w:rPr>
          <w:rFonts w:asciiTheme="majorHAnsi" w:hAnsiTheme="majorHAnsi" w:cstheme="majorHAnsi"/>
          <w:b/>
          <w:sz w:val="20"/>
          <w:szCs w:val="24"/>
          <w:u w:val="single"/>
          <w:lang w:val="en-US"/>
        </w:rPr>
        <w:t>DELIVERY SCHEDULE</w:t>
      </w:r>
    </w:p>
    <w:tbl>
      <w:tblPr>
        <w:tblW w:w="9486" w:type="dxa"/>
        <w:tblCellMar>
          <w:left w:w="70" w:type="dxa"/>
          <w:right w:w="70" w:type="dxa"/>
        </w:tblCellMar>
        <w:tblLook w:val="04A0" w:firstRow="1" w:lastRow="0" w:firstColumn="1" w:lastColumn="0" w:noHBand="0" w:noVBand="1"/>
      </w:tblPr>
      <w:tblGrid>
        <w:gridCol w:w="5190"/>
        <w:gridCol w:w="358"/>
        <w:gridCol w:w="358"/>
        <w:gridCol w:w="358"/>
        <w:gridCol w:w="358"/>
        <w:gridCol w:w="358"/>
        <w:gridCol w:w="358"/>
        <w:gridCol w:w="358"/>
        <w:gridCol w:w="358"/>
        <w:gridCol w:w="358"/>
        <w:gridCol w:w="358"/>
        <w:gridCol w:w="358"/>
        <w:gridCol w:w="358"/>
      </w:tblGrid>
      <w:tr w:rsidR="00887A5A" w:rsidRPr="00C51BE9" w14:paraId="3C1A6673" w14:textId="77777777" w:rsidTr="00887A5A">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002060"/>
            <w:vAlign w:val="center"/>
            <w:hideMark/>
          </w:tcPr>
          <w:p w14:paraId="1D85C711" w14:textId="0415DF72" w:rsidR="00887A5A" w:rsidRPr="00C51BE9" w:rsidRDefault="006E5BC9" w:rsidP="006E5BC9">
            <w:pPr>
              <w:rPr>
                <w:rFonts w:eastAsia="Times New Roman" w:cs="Calibri"/>
                <w:b/>
                <w:bCs/>
                <w:color w:val="FFFFFF"/>
                <w:sz w:val="20"/>
                <w:szCs w:val="20"/>
              </w:rPr>
            </w:pPr>
            <w:r w:rsidRPr="006E5BC9">
              <w:rPr>
                <w:rFonts w:eastAsia="Times New Roman" w:cs="Calibri"/>
                <w:b/>
                <w:bCs/>
                <w:color w:val="FFFFFF"/>
                <w:sz w:val="20"/>
                <w:szCs w:val="20"/>
              </w:rPr>
              <w:t>Timeline</w:t>
            </w:r>
          </w:p>
        </w:tc>
        <w:tc>
          <w:tcPr>
            <w:tcW w:w="0" w:type="auto"/>
            <w:gridSpan w:val="4"/>
            <w:tcBorders>
              <w:top w:val="single" w:sz="4" w:space="0" w:color="auto"/>
              <w:left w:val="nil"/>
              <w:bottom w:val="single" w:sz="4" w:space="0" w:color="auto"/>
              <w:right w:val="single" w:sz="4" w:space="0" w:color="auto"/>
            </w:tcBorders>
            <w:shd w:val="clear" w:color="000000" w:fill="002060"/>
            <w:vAlign w:val="center"/>
            <w:hideMark/>
          </w:tcPr>
          <w:p w14:paraId="30328FAC" w14:textId="77777777" w:rsidR="00887A5A" w:rsidRPr="00C51BE9" w:rsidRDefault="00887A5A" w:rsidP="00003B69">
            <w:pPr>
              <w:jc w:val="center"/>
              <w:rPr>
                <w:rFonts w:eastAsia="Times New Roman" w:cs="Calibri"/>
                <w:b/>
                <w:bCs/>
                <w:color w:val="FFFFFF"/>
                <w:sz w:val="20"/>
                <w:szCs w:val="20"/>
              </w:rPr>
            </w:pPr>
            <w:r w:rsidRPr="00C51BE9">
              <w:rPr>
                <w:rFonts w:eastAsia="Times New Roman" w:cs="Calibri"/>
                <w:b/>
                <w:bCs/>
                <w:color w:val="FFFFFF"/>
                <w:sz w:val="20"/>
                <w:szCs w:val="20"/>
              </w:rPr>
              <w:t>2021</w:t>
            </w:r>
          </w:p>
        </w:tc>
        <w:tc>
          <w:tcPr>
            <w:tcW w:w="0" w:type="auto"/>
            <w:gridSpan w:val="4"/>
            <w:tcBorders>
              <w:top w:val="single" w:sz="4" w:space="0" w:color="auto"/>
              <w:left w:val="nil"/>
              <w:bottom w:val="single" w:sz="4" w:space="0" w:color="auto"/>
              <w:right w:val="single" w:sz="4" w:space="0" w:color="auto"/>
            </w:tcBorders>
            <w:shd w:val="clear" w:color="000000" w:fill="002060"/>
            <w:vAlign w:val="center"/>
            <w:hideMark/>
          </w:tcPr>
          <w:p w14:paraId="1EBE91AD" w14:textId="77777777" w:rsidR="00887A5A" w:rsidRPr="00C51BE9" w:rsidRDefault="00887A5A" w:rsidP="00003B69">
            <w:pPr>
              <w:jc w:val="center"/>
              <w:rPr>
                <w:rFonts w:eastAsia="Times New Roman" w:cs="Calibri"/>
                <w:b/>
                <w:bCs/>
                <w:color w:val="FFFFFF"/>
                <w:sz w:val="20"/>
                <w:szCs w:val="20"/>
              </w:rPr>
            </w:pPr>
            <w:r w:rsidRPr="00C51BE9">
              <w:rPr>
                <w:rFonts w:eastAsia="Times New Roman" w:cs="Calibri"/>
                <w:b/>
                <w:bCs/>
                <w:color w:val="FFFFFF"/>
                <w:sz w:val="20"/>
                <w:szCs w:val="20"/>
              </w:rPr>
              <w:t>2022</w:t>
            </w:r>
          </w:p>
        </w:tc>
        <w:tc>
          <w:tcPr>
            <w:tcW w:w="0" w:type="auto"/>
            <w:gridSpan w:val="4"/>
            <w:tcBorders>
              <w:top w:val="single" w:sz="4" w:space="0" w:color="auto"/>
              <w:left w:val="nil"/>
              <w:bottom w:val="single" w:sz="4" w:space="0" w:color="auto"/>
              <w:right w:val="single" w:sz="4" w:space="0" w:color="auto"/>
            </w:tcBorders>
            <w:shd w:val="clear" w:color="000000" w:fill="002060"/>
            <w:vAlign w:val="center"/>
            <w:hideMark/>
          </w:tcPr>
          <w:p w14:paraId="0FE76BAC" w14:textId="77777777" w:rsidR="00887A5A" w:rsidRPr="00C51BE9" w:rsidRDefault="00887A5A" w:rsidP="00003B69">
            <w:pPr>
              <w:jc w:val="center"/>
              <w:rPr>
                <w:rFonts w:eastAsia="Times New Roman" w:cs="Calibri"/>
                <w:b/>
                <w:bCs/>
                <w:color w:val="FFFFFF"/>
                <w:sz w:val="20"/>
                <w:szCs w:val="20"/>
              </w:rPr>
            </w:pPr>
            <w:r w:rsidRPr="00C51BE9">
              <w:rPr>
                <w:rFonts w:eastAsia="Times New Roman" w:cs="Calibri"/>
                <w:b/>
                <w:bCs/>
                <w:color w:val="FFFFFF"/>
                <w:sz w:val="20"/>
                <w:szCs w:val="20"/>
              </w:rPr>
              <w:t>2023</w:t>
            </w:r>
          </w:p>
        </w:tc>
      </w:tr>
      <w:tr w:rsidR="00887A5A" w:rsidRPr="00C51BE9" w14:paraId="4E83DABE" w14:textId="77777777" w:rsidTr="00887A5A">
        <w:trPr>
          <w:trHeight w:val="300"/>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5BD90FC2" w14:textId="0DC66BAC" w:rsidR="00887A5A" w:rsidRPr="00C51BE9" w:rsidRDefault="006E5BC9" w:rsidP="00003B69">
            <w:pPr>
              <w:rPr>
                <w:rFonts w:eastAsia="Times New Roman" w:cs="Calibri"/>
                <w:b/>
                <w:bCs/>
                <w:color w:val="FFFFFF"/>
                <w:sz w:val="20"/>
                <w:szCs w:val="20"/>
              </w:rPr>
            </w:pPr>
            <w:r w:rsidRPr="006E5BC9">
              <w:rPr>
                <w:rFonts w:eastAsia="Times New Roman" w:cs="Calibri"/>
                <w:b/>
                <w:bCs/>
                <w:color w:val="FFFFFF"/>
                <w:sz w:val="20"/>
                <w:szCs w:val="20"/>
              </w:rPr>
              <w:t>Deliveries/Activities</w:t>
            </w:r>
          </w:p>
        </w:tc>
        <w:tc>
          <w:tcPr>
            <w:tcW w:w="0" w:type="auto"/>
            <w:gridSpan w:val="2"/>
            <w:tcBorders>
              <w:top w:val="single" w:sz="4" w:space="0" w:color="auto"/>
              <w:left w:val="nil"/>
              <w:bottom w:val="single" w:sz="4" w:space="0" w:color="auto"/>
              <w:right w:val="single" w:sz="4" w:space="0" w:color="auto"/>
            </w:tcBorders>
            <w:shd w:val="clear" w:color="000000" w:fill="002060"/>
            <w:noWrap/>
            <w:vAlign w:val="center"/>
            <w:hideMark/>
          </w:tcPr>
          <w:p w14:paraId="313E7858" w14:textId="77777777" w:rsidR="00887A5A" w:rsidRPr="00C51BE9" w:rsidRDefault="00887A5A" w:rsidP="00003B69">
            <w:pPr>
              <w:jc w:val="center"/>
              <w:rPr>
                <w:rFonts w:eastAsia="Times New Roman" w:cs="Calibri"/>
                <w:b/>
                <w:bCs/>
                <w:color w:val="FFFFFF"/>
                <w:sz w:val="16"/>
                <w:szCs w:val="16"/>
              </w:rPr>
            </w:pPr>
            <w:r w:rsidRPr="00C51BE9">
              <w:rPr>
                <w:rFonts w:eastAsia="Times New Roman" w:cs="Calibri"/>
                <w:b/>
                <w:bCs/>
                <w:color w:val="FFFFFF"/>
                <w:sz w:val="16"/>
                <w:szCs w:val="16"/>
              </w:rPr>
              <w:t>1º Sem.</w:t>
            </w:r>
          </w:p>
        </w:tc>
        <w:tc>
          <w:tcPr>
            <w:tcW w:w="0" w:type="auto"/>
            <w:gridSpan w:val="2"/>
            <w:tcBorders>
              <w:top w:val="single" w:sz="4" w:space="0" w:color="auto"/>
              <w:left w:val="nil"/>
              <w:bottom w:val="single" w:sz="4" w:space="0" w:color="auto"/>
              <w:right w:val="single" w:sz="4" w:space="0" w:color="auto"/>
            </w:tcBorders>
            <w:shd w:val="clear" w:color="000000" w:fill="002060"/>
            <w:noWrap/>
            <w:vAlign w:val="center"/>
            <w:hideMark/>
          </w:tcPr>
          <w:p w14:paraId="449B8CE7" w14:textId="77777777" w:rsidR="00887A5A" w:rsidRPr="00C51BE9" w:rsidRDefault="00887A5A" w:rsidP="00003B69">
            <w:pPr>
              <w:jc w:val="center"/>
              <w:rPr>
                <w:rFonts w:eastAsia="Times New Roman" w:cs="Calibri"/>
                <w:b/>
                <w:bCs/>
                <w:color w:val="FFFFFF"/>
                <w:sz w:val="16"/>
                <w:szCs w:val="16"/>
              </w:rPr>
            </w:pPr>
            <w:r w:rsidRPr="00C51BE9">
              <w:rPr>
                <w:rFonts w:eastAsia="Times New Roman" w:cs="Calibri"/>
                <w:b/>
                <w:bCs/>
                <w:color w:val="FFFFFF"/>
                <w:sz w:val="16"/>
                <w:szCs w:val="16"/>
              </w:rPr>
              <w:t>2º Sem.</w:t>
            </w:r>
          </w:p>
        </w:tc>
        <w:tc>
          <w:tcPr>
            <w:tcW w:w="0" w:type="auto"/>
            <w:gridSpan w:val="2"/>
            <w:tcBorders>
              <w:top w:val="single" w:sz="4" w:space="0" w:color="auto"/>
              <w:left w:val="nil"/>
              <w:bottom w:val="single" w:sz="4" w:space="0" w:color="auto"/>
              <w:right w:val="single" w:sz="4" w:space="0" w:color="auto"/>
            </w:tcBorders>
            <w:shd w:val="clear" w:color="000000" w:fill="002060"/>
            <w:noWrap/>
            <w:vAlign w:val="center"/>
            <w:hideMark/>
          </w:tcPr>
          <w:p w14:paraId="1E7957F5" w14:textId="77777777" w:rsidR="00887A5A" w:rsidRPr="00C51BE9" w:rsidRDefault="00887A5A" w:rsidP="00003B69">
            <w:pPr>
              <w:jc w:val="center"/>
              <w:rPr>
                <w:rFonts w:eastAsia="Times New Roman" w:cs="Calibri"/>
                <w:b/>
                <w:bCs/>
                <w:color w:val="FFFFFF"/>
                <w:sz w:val="16"/>
                <w:szCs w:val="16"/>
              </w:rPr>
            </w:pPr>
            <w:r w:rsidRPr="00C51BE9">
              <w:rPr>
                <w:rFonts w:eastAsia="Times New Roman" w:cs="Calibri"/>
                <w:b/>
                <w:bCs/>
                <w:color w:val="FFFFFF"/>
                <w:sz w:val="16"/>
                <w:szCs w:val="16"/>
              </w:rPr>
              <w:t>1º Sem.</w:t>
            </w:r>
          </w:p>
        </w:tc>
        <w:tc>
          <w:tcPr>
            <w:tcW w:w="0" w:type="auto"/>
            <w:gridSpan w:val="2"/>
            <w:tcBorders>
              <w:top w:val="single" w:sz="4" w:space="0" w:color="auto"/>
              <w:left w:val="nil"/>
              <w:bottom w:val="single" w:sz="4" w:space="0" w:color="auto"/>
              <w:right w:val="single" w:sz="4" w:space="0" w:color="auto"/>
            </w:tcBorders>
            <w:shd w:val="clear" w:color="000000" w:fill="002060"/>
            <w:noWrap/>
            <w:vAlign w:val="center"/>
            <w:hideMark/>
          </w:tcPr>
          <w:p w14:paraId="303003E8" w14:textId="77777777" w:rsidR="00887A5A" w:rsidRPr="00C51BE9" w:rsidRDefault="00887A5A" w:rsidP="00003B69">
            <w:pPr>
              <w:jc w:val="center"/>
              <w:rPr>
                <w:rFonts w:eastAsia="Times New Roman" w:cs="Calibri"/>
                <w:b/>
                <w:bCs/>
                <w:color w:val="FFFFFF"/>
                <w:sz w:val="16"/>
                <w:szCs w:val="16"/>
              </w:rPr>
            </w:pPr>
            <w:r w:rsidRPr="00C51BE9">
              <w:rPr>
                <w:rFonts w:eastAsia="Times New Roman" w:cs="Calibri"/>
                <w:b/>
                <w:bCs/>
                <w:color w:val="FFFFFF"/>
                <w:sz w:val="16"/>
                <w:szCs w:val="16"/>
              </w:rPr>
              <w:t>2º Sem.</w:t>
            </w:r>
          </w:p>
        </w:tc>
        <w:tc>
          <w:tcPr>
            <w:tcW w:w="0" w:type="auto"/>
            <w:gridSpan w:val="2"/>
            <w:tcBorders>
              <w:top w:val="single" w:sz="4" w:space="0" w:color="auto"/>
              <w:left w:val="nil"/>
              <w:bottom w:val="single" w:sz="4" w:space="0" w:color="auto"/>
              <w:right w:val="single" w:sz="4" w:space="0" w:color="auto"/>
            </w:tcBorders>
            <w:shd w:val="clear" w:color="000000" w:fill="002060"/>
            <w:noWrap/>
            <w:vAlign w:val="center"/>
            <w:hideMark/>
          </w:tcPr>
          <w:p w14:paraId="3D12B412" w14:textId="77777777" w:rsidR="00887A5A" w:rsidRPr="00C51BE9" w:rsidRDefault="00887A5A" w:rsidP="00003B69">
            <w:pPr>
              <w:jc w:val="center"/>
              <w:rPr>
                <w:rFonts w:eastAsia="Times New Roman" w:cs="Calibri"/>
                <w:b/>
                <w:bCs/>
                <w:color w:val="FFFFFF"/>
                <w:sz w:val="16"/>
                <w:szCs w:val="16"/>
              </w:rPr>
            </w:pPr>
            <w:r w:rsidRPr="00C51BE9">
              <w:rPr>
                <w:rFonts w:eastAsia="Times New Roman" w:cs="Calibri"/>
                <w:b/>
                <w:bCs/>
                <w:color w:val="FFFFFF"/>
                <w:sz w:val="16"/>
                <w:szCs w:val="16"/>
              </w:rPr>
              <w:t>1º Sem.</w:t>
            </w:r>
          </w:p>
        </w:tc>
        <w:tc>
          <w:tcPr>
            <w:tcW w:w="0" w:type="auto"/>
            <w:gridSpan w:val="2"/>
            <w:tcBorders>
              <w:top w:val="single" w:sz="4" w:space="0" w:color="auto"/>
              <w:left w:val="nil"/>
              <w:bottom w:val="single" w:sz="4" w:space="0" w:color="auto"/>
              <w:right w:val="single" w:sz="4" w:space="0" w:color="auto"/>
            </w:tcBorders>
            <w:shd w:val="clear" w:color="000000" w:fill="002060"/>
            <w:noWrap/>
            <w:vAlign w:val="center"/>
            <w:hideMark/>
          </w:tcPr>
          <w:p w14:paraId="1192F9BF" w14:textId="77777777" w:rsidR="00887A5A" w:rsidRPr="00C51BE9" w:rsidRDefault="00887A5A" w:rsidP="00003B69">
            <w:pPr>
              <w:jc w:val="center"/>
              <w:rPr>
                <w:rFonts w:eastAsia="Times New Roman" w:cs="Calibri"/>
                <w:b/>
                <w:bCs/>
                <w:color w:val="FFFFFF"/>
                <w:sz w:val="16"/>
                <w:szCs w:val="16"/>
              </w:rPr>
            </w:pPr>
            <w:r w:rsidRPr="00C51BE9">
              <w:rPr>
                <w:rFonts w:eastAsia="Times New Roman" w:cs="Calibri"/>
                <w:b/>
                <w:bCs/>
                <w:color w:val="FFFFFF"/>
                <w:sz w:val="16"/>
                <w:szCs w:val="16"/>
              </w:rPr>
              <w:t>2º Sem.</w:t>
            </w:r>
          </w:p>
        </w:tc>
      </w:tr>
      <w:tr w:rsidR="00887A5A" w:rsidRPr="00C51BE9" w14:paraId="79D0764D" w14:textId="77777777" w:rsidTr="00887A5A">
        <w:trPr>
          <w:trHeight w:val="300"/>
        </w:trPr>
        <w:tc>
          <w:tcPr>
            <w:tcW w:w="0" w:type="auto"/>
            <w:tcBorders>
              <w:top w:val="nil"/>
              <w:left w:val="single" w:sz="4" w:space="0" w:color="auto"/>
              <w:bottom w:val="single" w:sz="4" w:space="0" w:color="auto"/>
              <w:right w:val="single" w:sz="4" w:space="0" w:color="auto"/>
            </w:tcBorders>
            <w:shd w:val="clear" w:color="000000" w:fill="002060"/>
            <w:vAlign w:val="center"/>
            <w:hideMark/>
          </w:tcPr>
          <w:p w14:paraId="336B9A5E"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420DDED7"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P</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292ABE04"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E</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67C8661C"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P</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0E022507"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E</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035343C1"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P</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2C5AFE29"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E</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39D52378"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P</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40BE8265"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E</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679D2153"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P</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121455AE"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E</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3127B699"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P</w:t>
            </w:r>
            <w:r w:rsidRPr="00C51BE9">
              <w:rPr>
                <w:rFonts w:eastAsia="Times New Roman" w:cs="Calibri"/>
                <w:color w:val="FFFFFF"/>
                <w:sz w:val="20"/>
                <w:szCs w:val="20"/>
              </w:rPr>
              <w:t> </w:t>
            </w:r>
          </w:p>
        </w:tc>
        <w:tc>
          <w:tcPr>
            <w:tcW w:w="0" w:type="auto"/>
            <w:tcBorders>
              <w:top w:val="nil"/>
              <w:left w:val="nil"/>
              <w:bottom w:val="single" w:sz="4" w:space="0" w:color="auto"/>
              <w:right w:val="single" w:sz="4" w:space="0" w:color="auto"/>
            </w:tcBorders>
            <w:shd w:val="clear" w:color="000000" w:fill="002060"/>
            <w:vAlign w:val="center"/>
            <w:hideMark/>
          </w:tcPr>
          <w:p w14:paraId="5B94E2DF" w14:textId="77777777" w:rsidR="00887A5A" w:rsidRPr="00C51BE9" w:rsidRDefault="00887A5A" w:rsidP="00003B69">
            <w:pPr>
              <w:rPr>
                <w:rFonts w:eastAsia="Times New Roman" w:cs="Calibri"/>
                <w:b/>
                <w:bCs/>
                <w:color w:val="FFFFFF"/>
                <w:sz w:val="20"/>
                <w:szCs w:val="20"/>
              </w:rPr>
            </w:pPr>
            <w:r w:rsidRPr="00C51BE9">
              <w:rPr>
                <w:rFonts w:eastAsia="Times New Roman" w:cs="Calibri"/>
                <w:b/>
                <w:bCs/>
                <w:color w:val="FFFFFF"/>
                <w:sz w:val="20"/>
                <w:szCs w:val="20"/>
              </w:rPr>
              <w:t>E</w:t>
            </w:r>
            <w:r w:rsidRPr="00C51BE9">
              <w:rPr>
                <w:rFonts w:eastAsia="Times New Roman" w:cs="Calibri"/>
                <w:color w:val="FFFFFF"/>
                <w:sz w:val="20"/>
                <w:szCs w:val="20"/>
              </w:rPr>
              <w:t> </w:t>
            </w:r>
          </w:p>
        </w:tc>
      </w:tr>
      <w:tr w:rsidR="00887A5A" w:rsidRPr="00C51BE9" w14:paraId="67C94522" w14:textId="77777777" w:rsidTr="00887A5A">
        <w:trPr>
          <w:trHeight w:val="30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D575A63" w14:textId="3A218CAC" w:rsidR="00887A5A" w:rsidRPr="00C51BE9" w:rsidRDefault="006E5BC9" w:rsidP="006E5BC9">
            <w:pPr>
              <w:rPr>
                <w:rFonts w:eastAsia="Times New Roman" w:cs="Calibri"/>
                <w:b/>
                <w:bCs/>
                <w:color w:val="000000"/>
                <w:sz w:val="20"/>
                <w:szCs w:val="20"/>
              </w:rPr>
            </w:pPr>
            <w:r w:rsidRPr="006E5BC9">
              <w:rPr>
                <w:rFonts w:eastAsia="Times New Roman" w:cs="Calibri"/>
                <w:b/>
                <w:bCs/>
                <w:color w:val="000000"/>
                <w:sz w:val="20"/>
                <w:szCs w:val="20"/>
              </w:rPr>
              <w:t>Delivery 1 - Planning</w:t>
            </w:r>
          </w:p>
        </w:tc>
        <w:tc>
          <w:tcPr>
            <w:tcW w:w="0" w:type="auto"/>
            <w:tcBorders>
              <w:top w:val="nil"/>
              <w:left w:val="nil"/>
              <w:bottom w:val="single" w:sz="4" w:space="0" w:color="auto"/>
              <w:right w:val="single" w:sz="4" w:space="0" w:color="auto"/>
            </w:tcBorders>
            <w:shd w:val="clear" w:color="000000" w:fill="BFBFBF"/>
            <w:vAlign w:val="center"/>
            <w:hideMark/>
          </w:tcPr>
          <w:p w14:paraId="2B336FE4"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6F585531"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2AC93110"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36BFAD3"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6082131E"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9245504"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1DE629C"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4B799A5E"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1323DBA0"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61AD3A93"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4DAD151C"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40FA8BE" w14:textId="77777777" w:rsidR="00887A5A" w:rsidRPr="00C51BE9" w:rsidRDefault="00887A5A" w:rsidP="00003B69">
            <w:pPr>
              <w:rPr>
                <w:rFonts w:eastAsia="Times New Roman" w:cs="Calibri"/>
                <w:color w:val="000000"/>
                <w:sz w:val="20"/>
                <w:szCs w:val="20"/>
              </w:rPr>
            </w:pPr>
            <w:r w:rsidRPr="00C51BE9">
              <w:rPr>
                <w:rFonts w:eastAsia="Times New Roman" w:cs="Calibri"/>
                <w:color w:val="000000"/>
                <w:sz w:val="20"/>
                <w:szCs w:val="20"/>
              </w:rPr>
              <w:t>  </w:t>
            </w:r>
          </w:p>
        </w:tc>
      </w:tr>
      <w:tr w:rsidR="00887A5A" w:rsidRPr="00C51BE9" w14:paraId="779C3202" w14:textId="77777777" w:rsidTr="00887A5A">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6E0776" w14:textId="7FCCE0FE" w:rsidR="00887A5A" w:rsidRPr="004F529B" w:rsidRDefault="004F529B" w:rsidP="00003B69">
            <w:pPr>
              <w:rPr>
                <w:rFonts w:eastAsia="Times New Roman" w:cs="Calibri"/>
                <w:color w:val="000000"/>
                <w:sz w:val="20"/>
                <w:szCs w:val="20"/>
                <w:lang w:val="en-US"/>
              </w:rPr>
            </w:pPr>
            <w:r w:rsidRPr="004F529B">
              <w:rPr>
                <w:rFonts w:eastAsia="Times New Roman" w:cs="Calibri"/>
                <w:color w:val="000000"/>
                <w:sz w:val="20"/>
                <w:szCs w:val="20"/>
                <w:lang w:val="en-US"/>
              </w:rPr>
              <w:t xml:space="preserve">Activity 1.1 - Selection of centers, feasibility, </w:t>
            </w:r>
            <w:proofErr w:type="gramStart"/>
            <w:r w:rsidRPr="004F529B">
              <w:rPr>
                <w:rFonts w:eastAsia="Times New Roman" w:cs="Calibri"/>
                <w:color w:val="000000"/>
                <w:sz w:val="20"/>
                <w:szCs w:val="20"/>
                <w:lang w:val="en-US"/>
              </w:rPr>
              <w:t>invitation</w:t>
            </w:r>
            <w:proofErr w:type="gramEnd"/>
            <w:r w:rsidRPr="004F529B">
              <w:rPr>
                <w:rFonts w:eastAsia="Times New Roman" w:cs="Calibri"/>
                <w:color w:val="000000"/>
                <w:sz w:val="20"/>
                <w:szCs w:val="20"/>
                <w:lang w:val="en-US"/>
              </w:rPr>
              <w:t xml:space="preserve"> and acceptance of participation</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B21191A" w14:textId="6A424607" w:rsidR="00887A5A" w:rsidRPr="00C51BE9" w:rsidRDefault="00887A5A" w:rsidP="00003B69">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FCCCF1E" w14:textId="196132F8"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F326F1D" w14:textId="61705063" w:rsidR="00887A5A" w:rsidRPr="00C51BE9" w:rsidRDefault="00887A5A" w:rsidP="00003B69">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CDD94BC" w14:textId="31C2B656"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B9FCB09" w14:textId="62BC1A88"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C3CF0D6" w14:textId="31066D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F0100B" w14:textId="0E8EFBEF"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CA448B8" w14:textId="757D1921"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58682B4" w14:textId="595B755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450EE48" w14:textId="4772380A"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FD23785" w14:textId="43DC28C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EA8AA5C" w14:textId="77167E30"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r>
      <w:tr w:rsidR="00887A5A" w:rsidRPr="00C51BE9" w14:paraId="0FB7DE00" w14:textId="77777777" w:rsidTr="00887A5A">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3E376579" w14:textId="3303779F" w:rsidR="00887A5A" w:rsidRPr="004F529B" w:rsidRDefault="004F529B" w:rsidP="004F529B">
            <w:pPr>
              <w:rPr>
                <w:rFonts w:eastAsia="Times New Roman" w:cs="Calibri"/>
                <w:b/>
                <w:bCs/>
                <w:color w:val="000000"/>
                <w:sz w:val="20"/>
                <w:szCs w:val="20"/>
                <w:lang w:val="en-US"/>
              </w:rPr>
            </w:pPr>
            <w:r w:rsidRPr="004F529B">
              <w:rPr>
                <w:rFonts w:eastAsia="Times New Roman" w:cs="Calibri"/>
                <w:b/>
                <w:bCs/>
                <w:color w:val="000000"/>
                <w:sz w:val="20"/>
                <w:szCs w:val="20"/>
                <w:lang w:val="en-US"/>
              </w:rPr>
              <w:t>Delivery 2 - Design of Project Flows and regulatory stage</w:t>
            </w:r>
          </w:p>
        </w:tc>
        <w:tc>
          <w:tcPr>
            <w:tcW w:w="0" w:type="auto"/>
            <w:tcBorders>
              <w:top w:val="nil"/>
              <w:left w:val="nil"/>
              <w:bottom w:val="single" w:sz="4" w:space="0" w:color="auto"/>
              <w:right w:val="single" w:sz="4" w:space="0" w:color="auto"/>
            </w:tcBorders>
            <w:shd w:val="clear" w:color="000000" w:fill="BFBFBF"/>
            <w:vAlign w:val="center"/>
            <w:hideMark/>
          </w:tcPr>
          <w:p w14:paraId="6E3C986A" w14:textId="0B1786DE"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25B002F6" w14:textId="5C063F45"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6C6E52EF" w14:textId="42239D15"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F70842C" w14:textId="2C376ECD"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A8B74CE" w14:textId="2520D016"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30D0775" w14:textId="605AFD6B"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5E400D3" w14:textId="5903AD6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7007905" w14:textId="5855A70A"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82F6A8A" w14:textId="4291D68F"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E17130B" w14:textId="258E34BB"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2642377B" w14:textId="4C5F74AD"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5574326" w14:textId="33150C2F"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r>
      <w:tr w:rsidR="004F529B" w:rsidRPr="00C51BE9" w14:paraId="47D8B032" w14:textId="77777777" w:rsidTr="00453A5F">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1BCC6DA2" w14:textId="339DD041" w:rsidR="004F529B" w:rsidRPr="004F529B" w:rsidRDefault="004F529B" w:rsidP="004F529B">
            <w:pPr>
              <w:rPr>
                <w:rFonts w:eastAsia="Times New Roman" w:cs="Calibri"/>
                <w:color w:val="000000"/>
                <w:sz w:val="20"/>
                <w:szCs w:val="20"/>
                <w:lang w:val="en-US"/>
              </w:rPr>
            </w:pPr>
            <w:r w:rsidRPr="00C45CAD">
              <w:t>Activity 2.1 - Submission to the CEPS of the participating centers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C96AC35" w14:textId="7B2ECA82"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B592441" w14:textId="4177D1C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5D09186" w14:textId="31FAD058"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D6BBF8F" w14:textId="6B5781A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9A0B0C9" w14:textId="3AF9949C"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4AACEB5" w14:textId="50FCBD5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7C8DEBA" w14:textId="01B4239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1571D7" w14:textId="2814DD6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1BD3100" w14:textId="53AA7DE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20DBC6B" w14:textId="5A3FB84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4023288" w14:textId="7678020A"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3596731" w14:textId="33128C13"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5F29A2AC" w14:textId="77777777" w:rsidTr="00453A5F">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5EEC4F7F" w14:textId="02C5C664" w:rsidR="004F529B" w:rsidRPr="004F529B" w:rsidRDefault="004F529B" w:rsidP="004F529B">
            <w:pPr>
              <w:rPr>
                <w:rFonts w:eastAsia="Times New Roman" w:cs="Calibri"/>
                <w:color w:val="000000"/>
                <w:sz w:val="20"/>
                <w:szCs w:val="20"/>
                <w:lang w:val="en-US"/>
              </w:rPr>
            </w:pPr>
            <w:r w:rsidRPr="00C45CAD">
              <w:t>Activity 2.2 - Development of the CRF / Database</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AB2931B" w14:textId="0265EA03"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FC22FBA" w14:textId="16BBE6B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7ADBFE5" w14:textId="1E8B49F0"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FA79F6A" w14:textId="004810C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C9B7CA6" w14:textId="2BE3918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409CFA9" w14:textId="5B5F168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7705AB0" w14:textId="3EA32523"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C53F90A" w14:textId="5D37AC8A"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C85CC13" w14:textId="10ABC72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3F2CDC5" w14:textId="196163A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4CCC261" w14:textId="4135D285"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E49C57A" w14:textId="70CC3C2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7EB18CD1" w14:textId="77777777" w:rsidTr="00453A5F">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5B529A04" w14:textId="79DBC2D2" w:rsidR="004F529B" w:rsidRPr="004F529B" w:rsidRDefault="004F529B" w:rsidP="004F529B">
            <w:pPr>
              <w:rPr>
                <w:rFonts w:eastAsia="Times New Roman" w:cs="Calibri"/>
                <w:color w:val="000000"/>
                <w:sz w:val="20"/>
                <w:szCs w:val="20"/>
                <w:lang w:val="en-US"/>
              </w:rPr>
            </w:pPr>
            <w:r w:rsidRPr="00C45CAD">
              <w:t>Activity 2.3 - Term of agreement signed with the participating centers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AEB7D1F" w14:textId="461E237D"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72BD6CC" w14:textId="12530C39"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7DBFCFE" w14:textId="42C48F94"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856E8C" w14:textId="65617762"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2EEB545" w14:textId="64C432F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AACEBB0" w14:textId="2D7B1EBB"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6DA8DB0" w14:textId="050E0434"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97A6F1B" w14:textId="48CB769B"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905344C" w14:textId="39CCCFEF"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7B4517A" w14:textId="3CDCB27E"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BA6978D" w14:textId="2E8A1E6D" w:rsidR="004F529B" w:rsidRPr="00C51BE9" w:rsidRDefault="004F529B" w:rsidP="004F529B">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110DB16" w14:textId="2E8E3842" w:rsidR="004F529B" w:rsidRPr="00C51BE9" w:rsidRDefault="004F529B" w:rsidP="004F529B">
            <w:pPr>
              <w:rPr>
                <w:rFonts w:eastAsia="Times New Roman" w:cs="Calibri"/>
                <w:sz w:val="20"/>
                <w:szCs w:val="20"/>
              </w:rPr>
            </w:pPr>
            <w:r w:rsidRPr="00C51BE9">
              <w:rPr>
                <w:rFonts w:eastAsia="Times New Roman" w:cs="Calibri"/>
                <w:sz w:val="20"/>
                <w:szCs w:val="20"/>
              </w:rPr>
              <w:t>  </w:t>
            </w:r>
          </w:p>
        </w:tc>
      </w:tr>
      <w:tr w:rsidR="00887A5A" w:rsidRPr="00C51BE9" w14:paraId="26D7A1B7" w14:textId="77777777" w:rsidTr="00887A5A">
        <w:trPr>
          <w:trHeight w:val="30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7C74261C" w14:textId="45AB1E5C" w:rsidR="00887A5A" w:rsidRPr="004F529B" w:rsidRDefault="004F529B" w:rsidP="004F529B">
            <w:pPr>
              <w:rPr>
                <w:rFonts w:eastAsia="Times New Roman" w:cs="Calibri"/>
                <w:b/>
                <w:bCs/>
                <w:color w:val="000000"/>
                <w:sz w:val="20"/>
                <w:szCs w:val="20"/>
                <w:lang w:val="en-US"/>
              </w:rPr>
            </w:pPr>
            <w:r w:rsidRPr="004F529B">
              <w:rPr>
                <w:rFonts w:eastAsia="Times New Roman" w:cs="Calibri"/>
                <w:b/>
                <w:bCs/>
                <w:color w:val="000000"/>
                <w:sz w:val="20"/>
                <w:szCs w:val="20"/>
                <w:lang w:val="en-US"/>
              </w:rPr>
              <w:t>Delivery 3 - Resources for the project</w:t>
            </w:r>
          </w:p>
        </w:tc>
        <w:tc>
          <w:tcPr>
            <w:tcW w:w="0" w:type="auto"/>
            <w:tcBorders>
              <w:top w:val="nil"/>
              <w:left w:val="nil"/>
              <w:bottom w:val="single" w:sz="4" w:space="0" w:color="auto"/>
              <w:right w:val="single" w:sz="4" w:space="0" w:color="auto"/>
            </w:tcBorders>
            <w:shd w:val="clear" w:color="000000" w:fill="BFBFBF"/>
            <w:vAlign w:val="center"/>
            <w:hideMark/>
          </w:tcPr>
          <w:p w14:paraId="0EE6F30A" w14:textId="241AABA8"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4D068BA4" w14:textId="37CA5373"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F27F796" w14:textId="029DB5C0"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B51E347" w14:textId="2B1477C7"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F88CD98" w14:textId="044F3453"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1E441FE8" w14:textId="55F57E32"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688B909" w14:textId="336C67DD"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62F5920" w14:textId="0F9CCA36"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17AE5B5" w14:textId="447D9B0A"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2CB3CB9" w14:textId="3A509C55"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9E57B97" w14:textId="7022DF08" w:rsidR="00887A5A" w:rsidRPr="00C51BE9" w:rsidRDefault="00887A5A" w:rsidP="00003B69">
            <w:pP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3C34FC1" w14:textId="32770875" w:rsidR="00887A5A" w:rsidRPr="00C51BE9" w:rsidRDefault="00887A5A" w:rsidP="00003B69">
            <w:pPr>
              <w:rPr>
                <w:rFonts w:eastAsia="Times New Roman" w:cs="Calibri"/>
                <w:sz w:val="20"/>
                <w:szCs w:val="20"/>
              </w:rPr>
            </w:pPr>
            <w:r w:rsidRPr="00C51BE9">
              <w:rPr>
                <w:rFonts w:eastAsia="Times New Roman" w:cs="Calibri"/>
                <w:sz w:val="20"/>
                <w:szCs w:val="20"/>
              </w:rPr>
              <w:t>  </w:t>
            </w:r>
          </w:p>
        </w:tc>
      </w:tr>
      <w:tr w:rsidR="004F529B" w:rsidRPr="00C51BE9" w14:paraId="74ED5AEC" w14:textId="77777777" w:rsidTr="00FC4AE4">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963B409" w14:textId="723CBA61" w:rsidR="004F529B" w:rsidRPr="00C51BE9" w:rsidRDefault="004F529B" w:rsidP="004F529B">
            <w:pPr>
              <w:rPr>
                <w:rFonts w:eastAsia="Times New Roman" w:cs="Calibri"/>
                <w:color w:val="000000"/>
                <w:sz w:val="20"/>
                <w:szCs w:val="20"/>
              </w:rPr>
            </w:pPr>
            <w:r w:rsidRPr="00B47FBD">
              <w:t>Activity 3.1 - Insurance contracting</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0FE8CD8" w14:textId="7118379C"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06E1091" w14:textId="1340925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97E32D7" w14:textId="6E588A8D"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971235F" w14:textId="7D56EF35"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466BA82" w14:textId="768DAA5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40DD7E5" w14:textId="2A95041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2203309" w14:textId="5C755DF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52C35C" w14:textId="5F5085AA"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A1D95FB" w14:textId="2F82C873"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C0FBE29" w14:textId="7C42ADB3"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2FF0E06" w14:textId="405F34D5"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DC9E1EE" w14:textId="3E0E4E49"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4AF58AC9" w14:textId="77777777" w:rsidTr="00FC4AE4">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0C60C7D" w14:textId="5871846A" w:rsidR="004F529B" w:rsidRPr="00C51BE9" w:rsidRDefault="004F529B" w:rsidP="004F529B">
            <w:pPr>
              <w:rPr>
                <w:rFonts w:eastAsia="Times New Roman" w:cs="Calibri"/>
                <w:color w:val="000000"/>
                <w:sz w:val="20"/>
                <w:szCs w:val="20"/>
              </w:rPr>
            </w:pPr>
            <w:r w:rsidRPr="00B47FBD">
              <w:t>Activity 3.2 - Acquisition of medicines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DA01E2" w14:textId="75839B7B"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E871936" w14:textId="2EBACCF1"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FDF0BD9" w14:textId="09A5853E"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AD67EDE" w14:textId="3737E0EC"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1CDC7DD" w14:textId="5E54DC7B"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E79527C" w14:textId="75128C29"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F5E39C8" w14:textId="56838F7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CDBAC95" w14:textId="3160BE43"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278C4F0" w14:textId="48A638D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E283236" w14:textId="3A681B9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71B0163" w14:textId="2CF1F013"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210D62F" w14:textId="3C04097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7CB506CA" w14:textId="77777777" w:rsidTr="00FC4AE4">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48DA2653" w14:textId="7826088A" w:rsidR="004F529B" w:rsidRPr="004F529B" w:rsidRDefault="004F529B" w:rsidP="004F529B">
            <w:pPr>
              <w:rPr>
                <w:rFonts w:eastAsia="Times New Roman" w:cs="Calibri"/>
                <w:color w:val="000000"/>
                <w:sz w:val="20"/>
                <w:szCs w:val="20"/>
                <w:lang w:val="en-US"/>
              </w:rPr>
            </w:pPr>
            <w:r w:rsidRPr="00B47FBD">
              <w:t>Activity 3.3 - Acquisition of neuropsychological tests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3FD07CE" w14:textId="6AC781CE" w:rsidR="004F529B" w:rsidRPr="004F529B" w:rsidRDefault="004F529B" w:rsidP="004F529B">
            <w:pPr>
              <w:rPr>
                <w:rFonts w:ascii="Times New Roman" w:eastAsia="Times New Roman" w:hAnsi="Times New Roman" w:cs="Times New Roman"/>
                <w:sz w:val="20"/>
                <w:szCs w:val="20"/>
                <w:lang w:val="en-US"/>
              </w:rPr>
            </w:pPr>
            <w:r w:rsidRPr="004F529B">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D2158E1" w14:textId="5D24D271"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35B9113" w14:textId="617DE82A"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AD93781" w14:textId="60CE67F1"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A333325" w14:textId="007247EE"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93DDFC4" w14:textId="5CB4F9D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5BE4D6D" w14:textId="58F7189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0AD25AA" w14:textId="6ECE8F8F"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D8AC724" w14:textId="42AFD21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006AEDC" w14:textId="354957B9"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B6EEE4A" w14:textId="6140AD1E"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9B8417D" w14:textId="36C9BA8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20EB4788" w14:textId="77777777" w:rsidTr="00FC4AE4">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47D25DEE" w14:textId="556D2FC1" w:rsidR="004F529B" w:rsidRPr="004F529B" w:rsidRDefault="004F529B" w:rsidP="004F529B">
            <w:pPr>
              <w:rPr>
                <w:rFonts w:eastAsia="Times New Roman" w:cs="Calibri"/>
                <w:color w:val="000000"/>
                <w:sz w:val="20"/>
                <w:szCs w:val="20"/>
                <w:lang w:val="en-US"/>
              </w:rPr>
            </w:pPr>
            <w:r w:rsidRPr="00B47FBD">
              <w:t>Activity 3.4 - Collection and Analysis of Laboratory Tests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C6A58B0" w14:textId="6C6BB243" w:rsidR="004F529B" w:rsidRPr="004F529B" w:rsidRDefault="004F529B" w:rsidP="004F529B">
            <w:pPr>
              <w:rPr>
                <w:rFonts w:ascii="Times New Roman" w:eastAsia="Times New Roman" w:hAnsi="Times New Roman" w:cs="Times New Roman"/>
                <w:sz w:val="20"/>
                <w:szCs w:val="20"/>
                <w:lang w:val="en-US"/>
              </w:rPr>
            </w:pPr>
            <w:r w:rsidRPr="004F529B">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6D940FD" w14:textId="4D4B9D62"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79EF6DD" w14:textId="77777777" w:rsidR="004F529B" w:rsidRPr="00C51BE9" w:rsidRDefault="004F529B" w:rsidP="004F529B">
            <w:pPr>
              <w:jc w:val="center"/>
              <w:rPr>
                <w:rFonts w:eastAsia="Times New Roman" w:cs="Calibri"/>
                <w:sz w:val="20"/>
                <w:szCs w:val="20"/>
              </w:rPr>
            </w:pP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87144AA" w14:textId="31234611"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C64196E" w14:textId="12DBA71C"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7306B79" w14:textId="05EAEC41"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797EAFB" w14:textId="705660E8"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A1E79D9" w14:textId="26B9AF0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E354B6D" w14:textId="22CD29FF"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9B8D63" w14:textId="70D68CF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38BBAF3" w14:textId="5A27CAF2"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28FC7A8" w14:textId="2A0A2E9C"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4A314D60" w14:textId="77777777" w:rsidTr="00FC4AE4">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7D23FB87" w14:textId="6BB57E10" w:rsidR="004F529B" w:rsidRPr="004F529B" w:rsidRDefault="004F529B" w:rsidP="004F529B">
            <w:pPr>
              <w:rPr>
                <w:rFonts w:eastAsia="Times New Roman" w:cs="Calibri"/>
                <w:color w:val="000000"/>
                <w:sz w:val="20"/>
                <w:szCs w:val="20"/>
                <w:lang w:val="en-US"/>
              </w:rPr>
            </w:pPr>
            <w:r w:rsidRPr="00B47FBD">
              <w:t>Activity 3.5 - Storage and Transport of Medicines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875630D" w14:textId="77777777" w:rsidR="004F529B" w:rsidRPr="004F529B" w:rsidRDefault="004F529B" w:rsidP="004F529B">
            <w:pPr>
              <w:jc w:val="center"/>
              <w:rPr>
                <w:rFonts w:eastAsia="Times New Roman" w:cs="Calibri"/>
                <w:sz w:val="20"/>
                <w:szCs w:val="20"/>
                <w:lang w:val="en-US"/>
              </w:rPr>
            </w:pP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A65D10C" w14:textId="2BE0110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tcPr>
          <w:p w14:paraId="2F11A5B5" w14:textId="77777777" w:rsidR="004F529B" w:rsidRPr="00C51BE9" w:rsidRDefault="004F529B" w:rsidP="004F529B">
            <w:pPr>
              <w:jc w:val="center"/>
              <w:rPr>
                <w:rFonts w:eastAsia="Times New Roman" w:cs="Calibri"/>
                <w:sz w:val="20"/>
                <w:szCs w:val="20"/>
              </w:rPr>
            </w:pP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30EDD68" w14:textId="24DC5E62"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C50B1A6" w14:textId="49DE4D6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EBC2976" w14:textId="3801366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38F6CF5" w14:textId="24598C1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053CBB8" w14:textId="714CCD6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9BB2E14" w14:textId="1D4160B5"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CE3A61B" w14:textId="42C819E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46848C7" w14:textId="6E84F89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FBCD482" w14:textId="298208B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60CA5800" w14:textId="77777777" w:rsidTr="00FC4AE4">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60724705" w14:textId="4528027C" w:rsidR="004F529B" w:rsidRPr="00905271" w:rsidRDefault="004F529B" w:rsidP="004F529B">
            <w:pPr>
              <w:rPr>
                <w:rFonts w:eastAsia="Times New Roman" w:cs="Calibri"/>
                <w:color w:val="000000"/>
                <w:sz w:val="20"/>
                <w:szCs w:val="20"/>
                <w:lang w:val="pt-BR"/>
              </w:rPr>
            </w:pPr>
            <w:r w:rsidRPr="00B47FBD">
              <w:t>Activity 3.6 - Hiring neuropsychological services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B1B8148" w14:textId="6F58A9B1" w:rsidR="004F529B" w:rsidRPr="00905271" w:rsidRDefault="004F529B" w:rsidP="004F529B">
            <w:pPr>
              <w:rPr>
                <w:rFonts w:ascii="Times New Roman" w:eastAsia="Times New Roman" w:hAnsi="Times New Roman" w:cs="Times New Roman"/>
                <w:sz w:val="20"/>
                <w:szCs w:val="20"/>
                <w:lang w:val="pt-BR"/>
              </w:rPr>
            </w:pPr>
            <w:r w:rsidRPr="00905271">
              <w:rPr>
                <w:rFonts w:ascii="Times New Roman" w:eastAsia="Times New Roman" w:hAnsi="Times New Roman" w:cs="Times New Roman"/>
                <w:sz w:val="20"/>
                <w:szCs w:val="20"/>
                <w:lang w:val="pt-BR"/>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93B614E" w14:textId="4C771FFE"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6109F03" w14:textId="28321DA6"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6B12058" w14:textId="3F843DE3"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43272CF" w14:textId="712141D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E6B5ACC" w14:textId="7A90DF7A"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78717A7" w14:textId="282EEC6E"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4A34FD0" w14:textId="12B5EBF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839B8DA" w14:textId="39034BF6"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9755850" w14:textId="00E1E7D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5C9DC17" w14:textId="1019259B"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C0D2ED4" w14:textId="1EB6B130"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887A5A" w:rsidRPr="00C51BE9" w14:paraId="7257EE3D" w14:textId="77777777" w:rsidTr="00887A5A">
        <w:trPr>
          <w:trHeight w:val="51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4D9EE1CC" w14:textId="4CD06D34" w:rsidR="00887A5A" w:rsidRPr="00C51BE9" w:rsidRDefault="004F529B" w:rsidP="004F529B">
            <w:pPr>
              <w:rPr>
                <w:rFonts w:eastAsia="Times New Roman" w:cs="Calibri"/>
                <w:b/>
                <w:bCs/>
                <w:color w:val="000000"/>
                <w:sz w:val="20"/>
                <w:szCs w:val="20"/>
              </w:rPr>
            </w:pPr>
            <w:r w:rsidRPr="004F529B">
              <w:rPr>
                <w:rFonts w:eastAsia="Times New Roman" w:cs="Calibri"/>
                <w:b/>
                <w:bCs/>
                <w:color w:val="000000"/>
                <w:sz w:val="20"/>
                <w:szCs w:val="20"/>
              </w:rPr>
              <w:t>Delivery 4 - Intervention and follow-up</w:t>
            </w:r>
          </w:p>
        </w:tc>
        <w:tc>
          <w:tcPr>
            <w:tcW w:w="0" w:type="auto"/>
            <w:tcBorders>
              <w:top w:val="nil"/>
              <w:left w:val="nil"/>
              <w:bottom w:val="single" w:sz="4" w:space="0" w:color="auto"/>
              <w:right w:val="single" w:sz="4" w:space="0" w:color="auto"/>
            </w:tcBorders>
            <w:shd w:val="clear" w:color="000000" w:fill="BFBFBF"/>
            <w:vAlign w:val="center"/>
            <w:hideMark/>
          </w:tcPr>
          <w:p w14:paraId="63493B3B" w14:textId="772DF853"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B722466" w14:textId="45391C08"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4EB07FD" w14:textId="69D4487C"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79E51D2" w14:textId="29496E0F"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4FB5C81E" w14:textId="5FCE3F90"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BCB1725" w14:textId="132FAD3A"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9439DAB" w14:textId="7673A3AE"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2045795" w14:textId="43340B64"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BA093EA" w14:textId="7BC73A9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A577F54" w14:textId="4BC07CA6"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69BCAC14" w14:textId="299D7BCC"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622710F" w14:textId="206A982B"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r>
      <w:tr w:rsidR="004F529B" w:rsidRPr="00C51BE9" w14:paraId="1604C2A1" w14:textId="77777777" w:rsidTr="00EA1A8F">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325B974B" w14:textId="781AF34A" w:rsidR="004F529B" w:rsidRPr="00C51BE9" w:rsidRDefault="004F529B" w:rsidP="004F529B">
            <w:pPr>
              <w:rPr>
                <w:rFonts w:eastAsia="Times New Roman" w:cs="Calibri"/>
                <w:color w:val="000000"/>
                <w:sz w:val="20"/>
                <w:szCs w:val="20"/>
              </w:rPr>
            </w:pPr>
            <w:r w:rsidRPr="009D7F2E">
              <w:t>Activity 4.1 - Inclusion of participants</w:t>
            </w:r>
          </w:p>
        </w:tc>
        <w:tc>
          <w:tcPr>
            <w:tcW w:w="0" w:type="auto"/>
            <w:tcBorders>
              <w:top w:val="nil"/>
              <w:left w:val="nil"/>
              <w:bottom w:val="single" w:sz="4" w:space="0" w:color="auto"/>
              <w:right w:val="single" w:sz="4" w:space="0" w:color="auto"/>
            </w:tcBorders>
            <w:shd w:val="clear" w:color="auto" w:fill="auto"/>
            <w:vAlign w:val="center"/>
            <w:hideMark/>
          </w:tcPr>
          <w:p w14:paraId="7EC7D8E8" w14:textId="5926DA54"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3D9331E" w14:textId="0DC1B65D"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E8AE309" w14:textId="77777777" w:rsidR="004F529B" w:rsidRPr="00C51BE9" w:rsidRDefault="004F529B" w:rsidP="004F529B">
            <w:pPr>
              <w:jc w:val="center"/>
              <w:rPr>
                <w:rFonts w:eastAsia="Times New Roman" w:cs="Calibri"/>
                <w:sz w:val="20"/>
                <w:szCs w:val="20"/>
              </w:rPr>
            </w:pP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134A1A4" w14:textId="044C036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B29F476" w14:textId="739FABC5"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3940B37" w14:textId="03F7995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17F073C" w14:textId="6F313D2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14562DD" w14:textId="63CFF80F"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DEE7880" w14:textId="1F2FC419" w:rsidR="004F529B" w:rsidRPr="00C51BE9" w:rsidRDefault="004F529B" w:rsidP="004F529B">
            <w:pPr>
              <w:rPr>
                <w:rFonts w:ascii="Times New Roman" w:eastAsia="Times New Roman" w:hAnsi="Times New Roman" w:cs="Times New Roman"/>
                <w:sz w:val="20"/>
                <w:szCs w:val="20"/>
              </w:rPr>
            </w:pPr>
            <w:r w:rsidRPr="00C51BE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0919387" w14:textId="60084D6B"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BD57164" w14:textId="39F136E2" w:rsidR="004F529B" w:rsidRPr="00C51BE9" w:rsidRDefault="004F529B" w:rsidP="004F529B">
            <w:pPr>
              <w:rPr>
                <w:rFonts w:ascii="Times New Roman" w:eastAsia="Times New Roman" w:hAnsi="Times New Roman" w:cs="Times New Roman"/>
                <w:sz w:val="20"/>
                <w:szCs w:val="20"/>
              </w:rPr>
            </w:pPr>
            <w:r w:rsidRPr="00C51BE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66BF0E2" w14:textId="464A3F18"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305E1423" w14:textId="77777777" w:rsidTr="00EA1A8F">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FAB5AA0" w14:textId="030A0381" w:rsidR="004F529B" w:rsidRPr="00C51BE9" w:rsidRDefault="004F529B" w:rsidP="004F529B">
            <w:pPr>
              <w:rPr>
                <w:rFonts w:eastAsia="Times New Roman" w:cs="Calibri"/>
                <w:color w:val="000000"/>
                <w:sz w:val="20"/>
                <w:szCs w:val="20"/>
              </w:rPr>
            </w:pPr>
            <w:r w:rsidRPr="009D7F2E">
              <w:t>Activity 4.2 - Clinical follow-up</w:t>
            </w:r>
          </w:p>
        </w:tc>
        <w:tc>
          <w:tcPr>
            <w:tcW w:w="0" w:type="auto"/>
            <w:tcBorders>
              <w:top w:val="nil"/>
              <w:left w:val="nil"/>
              <w:bottom w:val="single" w:sz="4" w:space="0" w:color="auto"/>
              <w:right w:val="single" w:sz="4" w:space="0" w:color="auto"/>
            </w:tcBorders>
            <w:shd w:val="clear" w:color="auto" w:fill="auto"/>
            <w:vAlign w:val="center"/>
            <w:hideMark/>
          </w:tcPr>
          <w:p w14:paraId="7BC0988B"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6A9065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D64ABD8" w14:textId="77777777" w:rsidR="004F529B" w:rsidRPr="00C51BE9" w:rsidRDefault="004F529B" w:rsidP="004F529B">
            <w:pPr>
              <w:jc w:val="center"/>
              <w:rPr>
                <w:rFonts w:eastAsia="Times New Roman" w:cs="Calibri"/>
                <w:sz w:val="20"/>
                <w:szCs w:val="20"/>
              </w:rPr>
            </w:pP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A214373"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92585A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F84CFE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527A268"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C8E6E69"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F2E8AEF"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794D607" w14:textId="77777777" w:rsidR="004F529B" w:rsidRPr="00C51BE9" w:rsidRDefault="004F529B" w:rsidP="004F529B">
            <w:pPr>
              <w:rPr>
                <w:rFonts w:ascii="Times New Roman" w:eastAsia="Times New Roman" w:hAnsi="Times New Roman" w:cs="Times New Roman"/>
                <w:sz w:val="20"/>
                <w:szCs w:val="20"/>
              </w:rPr>
            </w:pPr>
            <w:r w:rsidRPr="00C51BE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3E3B74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1FA74C1"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887A5A" w:rsidRPr="00C51BE9" w14:paraId="31E45F35" w14:textId="77777777" w:rsidTr="00887A5A">
        <w:trPr>
          <w:trHeight w:val="30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24375EA7" w14:textId="04568C6B" w:rsidR="00887A5A" w:rsidRPr="00C51BE9" w:rsidRDefault="004F529B" w:rsidP="00003B69">
            <w:pPr>
              <w:rPr>
                <w:rFonts w:eastAsia="Times New Roman" w:cs="Calibri"/>
                <w:b/>
                <w:bCs/>
                <w:color w:val="000000"/>
                <w:sz w:val="20"/>
                <w:szCs w:val="20"/>
              </w:rPr>
            </w:pPr>
            <w:r w:rsidRPr="004F529B">
              <w:rPr>
                <w:rFonts w:eastAsia="Times New Roman" w:cs="Calibri"/>
                <w:b/>
                <w:bCs/>
                <w:color w:val="000000"/>
                <w:sz w:val="20"/>
                <w:szCs w:val="20"/>
              </w:rPr>
              <w:t>Delivery 5 - Monitoring</w:t>
            </w:r>
          </w:p>
        </w:tc>
        <w:tc>
          <w:tcPr>
            <w:tcW w:w="0" w:type="auto"/>
            <w:tcBorders>
              <w:top w:val="nil"/>
              <w:left w:val="nil"/>
              <w:bottom w:val="single" w:sz="4" w:space="0" w:color="auto"/>
              <w:right w:val="single" w:sz="4" w:space="0" w:color="auto"/>
            </w:tcBorders>
            <w:shd w:val="clear" w:color="000000" w:fill="BFBFBF"/>
            <w:vAlign w:val="center"/>
            <w:hideMark/>
          </w:tcPr>
          <w:p w14:paraId="7B3701A2"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846A34F"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18F3C021"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A1E6ED4"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C8EA7BC"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67C5C6A3"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29625846"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CE12EFA"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25D3F37B"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4F30742C"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10E5A88F"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58030FE"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r>
      <w:tr w:rsidR="004F529B" w:rsidRPr="00C51BE9" w14:paraId="69C56083" w14:textId="77777777" w:rsidTr="0015399A">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2125536A" w14:textId="08549173" w:rsidR="004F529B" w:rsidRPr="004F529B" w:rsidRDefault="004F529B" w:rsidP="004F529B">
            <w:pPr>
              <w:rPr>
                <w:rFonts w:eastAsia="Times New Roman" w:cs="Calibri"/>
                <w:color w:val="000000"/>
                <w:sz w:val="20"/>
                <w:szCs w:val="20"/>
                <w:lang w:val="en-US"/>
              </w:rPr>
            </w:pPr>
            <w:r w:rsidRPr="00C6314F">
              <w:t>Activity 5.1 - Development of monitoring plan and materials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FFDD73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835F3F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8DCC078"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7D0737E"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2EB6F9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24738F"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A71F2EA"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080DD2B"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AB16C2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38ECA1E"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7ECB258"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E82C4D1"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4BB8023C" w14:textId="77777777" w:rsidTr="0015399A">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54147295" w14:textId="0DE65DAA" w:rsidR="004F529B" w:rsidRPr="004F529B" w:rsidRDefault="004F529B" w:rsidP="004F529B">
            <w:pPr>
              <w:rPr>
                <w:rFonts w:eastAsia="Times New Roman" w:cs="Calibri"/>
                <w:color w:val="000000"/>
                <w:sz w:val="20"/>
                <w:szCs w:val="20"/>
                <w:lang w:val="en-US"/>
              </w:rPr>
            </w:pPr>
            <w:r w:rsidRPr="00C6314F">
              <w:lastRenderedPageBreak/>
              <w:t>Activity 5.2 - Monitoring visits (data and documents)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F7C94AC"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9605C7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0C7C367" w14:textId="77777777" w:rsidR="004F529B" w:rsidRPr="00C51BE9" w:rsidRDefault="004F529B" w:rsidP="004F529B">
            <w:pPr>
              <w:jc w:val="center"/>
              <w:rPr>
                <w:rFonts w:eastAsia="Times New Roman" w:cs="Calibri"/>
                <w:sz w:val="20"/>
                <w:szCs w:val="20"/>
              </w:rPr>
            </w:pP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AA02A8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D8C23EF"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44B45B8"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6BE58AA"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F5C7421"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8E0184B"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810A3ED"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16D9B27"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4E6222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58D98528" w14:textId="77777777" w:rsidTr="0015399A">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D3AA51D" w14:textId="010F0A36" w:rsidR="004F529B" w:rsidRPr="00C51BE9" w:rsidRDefault="004F529B" w:rsidP="004F529B">
            <w:pPr>
              <w:rPr>
                <w:rFonts w:eastAsia="Times New Roman" w:cs="Calibri"/>
                <w:color w:val="000000"/>
                <w:sz w:val="20"/>
                <w:szCs w:val="20"/>
              </w:rPr>
            </w:pPr>
            <w:r w:rsidRPr="00C6314F">
              <w:t>Activity 5.3 - Meeting Investigators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DDD4A42"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D76C89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0F9A052"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388395D"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C0D7AE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C2FD84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28869F8"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6560A9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DE0FEE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B9E9DD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F18DE2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0F2A6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70F59FFB" w14:textId="77777777" w:rsidTr="0015399A">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2BD63908" w14:textId="6D559EDD" w:rsidR="004F529B" w:rsidRPr="004F529B" w:rsidRDefault="004F529B" w:rsidP="004F529B">
            <w:pPr>
              <w:rPr>
                <w:rFonts w:eastAsia="Times New Roman" w:cs="Calibri"/>
                <w:color w:val="000000"/>
                <w:sz w:val="20"/>
                <w:szCs w:val="20"/>
                <w:lang w:val="en-US"/>
              </w:rPr>
            </w:pPr>
            <w:r w:rsidRPr="00C6314F">
              <w:t>Activity 5.4 - Monitoring of project indicators</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456B827" w14:textId="77777777" w:rsidR="004F529B" w:rsidRPr="004F529B" w:rsidRDefault="004F529B" w:rsidP="004F529B">
            <w:pPr>
              <w:rPr>
                <w:rFonts w:ascii="Times New Roman" w:eastAsia="Times New Roman" w:hAnsi="Times New Roman" w:cs="Times New Roman"/>
                <w:sz w:val="20"/>
                <w:szCs w:val="20"/>
                <w:lang w:val="en-US"/>
              </w:rPr>
            </w:pPr>
            <w:r w:rsidRPr="004F529B">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DE39E9D" w14:textId="77777777" w:rsidR="004F529B" w:rsidRPr="004F529B" w:rsidRDefault="004F529B" w:rsidP="004F529B">
            <w:pPr>
              <w:rPr>
                <w:rFonts w:ascii="Times New Roman" w:eastAsia="Times New Roman" w:hAnsi="Times New Roman" w:cs="Times New Roman"/>
                <w:sz w:val="20"/>
                <w:szCs w:val="20"/>
                <w:lang w:val="en-US"/>
              </w:rPr>
            </w:pPr>
            <w:r w:rsidRPr="004F529B">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048BCD6" w14:textId="77777777" w:rsidR="004F529B" w:rsidRPr="004F529B" w:rsidRDefault="004F529B" w:rsidP="004F529B">
            <w:pPr>
              <w:jc w:val="center"/>
              <w:rPr>
                <w:rFonts w:eastAsia="Times New Roman" w:cs="Calibri"/>
                <w:sz w:val="20"/>
                <w:szCs w:val="20"/>
                <w:lang w:val="en-US"/>
              </w:rPr>
            </w:pP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1812260" w14:textId="77777777" w:rsidR="004F529B" w:rsidRPr="004F529B" w:rsidRDefault="004F529B" w:rsidP="004F529B">
            <w:pPr>
              <w:rPr>
                <w:rFonts w:ascii="Times New Roman" w:eastAsia="Times New Roman" w:hAnsi="Times New Roman" w:cs="Times New Roman"/>
                <w:sz w:val="20"/>
                <w:szCs w:val="20"/>
                <w:lang w:val="en-US"/>
              </w:rPr>
            </w:pPr>
            <w:r w:rsidRPr="004F529B">
              <w:rPr>
                <w:rFonts w:ascii="Times New Roman" w:eastAsia="Times New Roman" w:hAnsi="Times New Roman" w:cs="Times New Roman"/>
                <w:sz w:val="20"/>
                <w:szCs w:val="20"/>
                <w:lang w:val="en-US"/>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210A567"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3A622CE" w14:textId="77777777" w:rsidR="004F529B" w:rsidRPr="00C51BE9" w:rsidRDefault="004F529B" w:rsidP="004F529B">
            <w:pPr>
              <w:rPr>
                <w:rFonts w:ascii="Times New Roman" w:eastAsia="Times New Roman" w:hAnsi="Times New Roman" w:cs="Times New Roman"/>
                <w:sz w:val="20"/>
                <w:szCs w:val="20"/>
              </w:rPr>
            </w:pPr>
            <w:r w:rsidRPr="00C51BE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7921021"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9818CEA" w14:textId="77777777" w:rsidR="004F529B" w:rsidRPr="00C51BE9" w:rsidRDefault="004F529B" w:rsidP="004F529B">
            <w:pPr>
              <w:rPr>
                <w:rFonts w:ascii="Times New Roman" w:eastAsia="Times New Roman" w:hAnsi="Times New Roman" w:cs="Times New Roman"/>
                <w:sz w:val="20"/>
                <w:szCs w:val="20"/>
              </w:rPr>
            </w:pPr>
            <w:r w:rsidRPr="00C51BE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A07DF6C"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B131A2A" w14:textId="77777777" w:rsidR="004F529B" w:rsidRPr="00C51BE9" w:rsidRDefault="004F529B" w:rsidP="004F529B">
            <w:pPr>
              <w:rPr>
                <w:rFonts w:ascii="Times New Roman" w:eastAsia="Times New Roman" w:hAnsi="Times New Roman" w:cs="Times New Roman"/>
                <w:sz w:val="20"/>
                <w:szCs w:val="20"/>
              </w:rPr>
            </w:pPr>
            <w:r w:rsidRPr="00C51BE9">
              <w:rPr>
                <w:rFonts w:ascii="Times New Roman" w:eastAsia="Times New Roman" w:hAnsi="Times New Roman" w:cs="Times New Roman"/>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6DF6E5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498B21C" w14:textId="77777777" w:rsidR="004F529B" w:rsidRPr="00C51BE9" w:rsidRDefault="004F529B" w:rsidP="004F529B">
            <w:pPr>
              <w:rPr>
                <w:rFonts w:ascii="Times New Roman" w:eastAsia="Times New Roman" w:hAnsi="Times New Roman" w:cs="Times New Roman"/>
                <w:sz w:val="20"/>
                <w:szCs w:val="20"/>
              </w:rPr>
            </w:pPr>
            <w:r w:rsidRPr="00C51BE9">
              <w:rPr>
                <w:rFonts w:ascii="Times New Roman" w:eastAsia="Times New Roman" w:hAnsi="Times New Roman" w:cs="Times New Roman"/>
                <w:sz w:val="20"/>
                <w:szCs w:val="20"/>
              </w:rPr>
              <w:t> </w:t>
            </w:r>
          </w:p>
        </w:tc>
      </w:tr>
      <w:tr w:rsidR="00887A5A" w:rsidRPr="00C51BE9" w14:paraId="3AF64C8B" w14:textId="77777777" w:rsidTr="00887A5A">
        <w:trPr>
          <w:trHeight w:val="300"/>
        </w:trPr>
        <w:tc>
          <w:tcPr>
            <w:tcW w:w="0" w:type="auto"/>
            <w:tcBorders>
              <w:top w:val="nil"/>
              <w:left w:val="single" w:sz="4" w:space="0" w:color="auto"/>
              <w:bottom w:val="single" w:sz="4" w:space="0" w:color="auto"/>
              <w:right w:val="single" w:sz="4" w:space="0" w:color="auto"/>
            </w:tcBorders>
            <w:shd w:val="clear" w:color="000000" w:fill="BFBFBF"/>
            <w:vAlign w:val="center"/>
            <w:hideMark/>
          </w:tcPr>
          <w:p w14:paraId="1A0748C9" w14:textId="168CBC39" w:rsidR="00887A5A" w:rsidRPr="00C51BE9" w:rsidRDefault="004F529B" w:rsidP="004F529B">
            <w:pPr>
              <w:rPr>
                <w:rFonts w:eastAsia="Times New Roman" w:cs="Calibri"/>
                <w:b/>
                <w:bCs/>
                <w:color w:val="000000"/>
                <w:sz w:val="20"/>
                <w:szCs w:val="20"/>
              </w:rPr>
            </w:pPr>
            <w:r w:rsidRPr="004F529B">
              <w:rPr>
                <w:rFonts w:eastAsia="Times New Roman" w:cs="Calibri"/>
                <w:b/>
                <w:bCs/>
                <w:color w:val="000000"/>
                <w:sz w:val="20"/>
                <w:szCs w:val="20"/>
              </w:rPr>
              <w:t>Delivery 6 - Publication of results</w:t>
            </w:r>
          </w:p>
        </w:tc>
        <w:tc>
          <w:tcPr>
            <w:tcW w:w="0" w:type="auto"/>
            <w:tcBorders>
              <w:top w:val="nil"/>
              <w:left w:val="nil"/>
              <w:bottom w:val="single" w:sz="4" w:space="0" w:color="auto"/>
              <w:right w:val="single" w:sz="4" w:space="0" w:color="auto"/>
            </w:tcBorders>
            <w:shd w:val="clear" w:color="000000" w:fill="BFBFBF"/>
            <w:vAlign w:val="center"/>
            <w:hideMark/>
          </w:tcPr>
          <w:p w14:paraId="24801060"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6001060B"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2251C5AA"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618D34A"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16E9120"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39C27143"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37FDBE5"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0B23E81D"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B8C6730"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545FA7A7"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74AF9E63"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000000" w:fill="BFBFBF"/>
            <w:vAlign w:val="center"/>
            <w:hideMark/>
          </w:tcPr>
          <w:p w14:paraId="105C2B50" w14:textId="77777777" w:rsidR="00887A5A" w:rsidRPr="00C51BE9" w:rsidRDefault="00887A5A" w:rsidP="00003B69">
            <w:pPr>
              <w:jc w:val="center"/>
              <w:rPr>
                <w:rFonts w:eastAsia="Times New Roman" w:cs="Calibri"/>
                <w:sz w:val="20"/>
                <w:szCs w:val="20"/>
              </w:rPr>
            </w:pPr>
            <w:r w:rsidRPr="00C51BE9">
              <w:rPr>
                <w:rFonts w:eastAsia="Times New Roman" w:cs="Calibri"/>
                <w:sz w:val="20"/>
                <w:szCs w:val="20"/>
              </w:rPr>
              <w:t> </w:t>
            </w:r>
          </w:p>
        </w:tc>
      </w:tr>
      <w:tr w:rsidR="004F529B" w:rsidRPr="00C51BE9" w14:paraId="3A0AC0FD" w14:textId="77777777" w:rsidTr="001E1473">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15E337FB" w14:textId="32CE6AE5" w:rsidR="004F529B" w:rsidRPr="004F529B" w:rsidRDefault="004F529B" w:rsidP="004F529B">
            <w:pPr>
              <w:rPr>
                <w:rFonts w:eastAsia="Times New Roman" w:cs="Calibri"/>
                <w:color w:val="000000"/>
                <w:sz w:val="20"/>
                <w:szCs w:val="20"/>
                <w:lang w:val="en-US"/>
              </w:rPr>
            </w:pPr>
            <w:r w:rsidRPr="005468B4">
              <w:t>Activity 6.1 - Sending the database to the MS and approval for publication</w:t>
            </w:r>
          </w:p>
        </w:tc>
        <w:tc>
          <w:tcPr>
            <w:tcW w:w="0" w:type="auto"/>
            <w:tcBorders>
              <w:top w:val="nil"/>
              <w:left w:val="nil"/>
              <w:bottom w:val="single" w:sz="4" w:space="0" w:color="auto"/>
              <w:right w:val="single" w:sz="4" w:space="0" w:color="auto"/>
            </w:tcBorders>
            <w:shd w:val="clear" w:color="auto" w:fill="auto"/>
            <w:vAlign w:val="center"/>
            <w:hideMark/>
          </w:tcPr>
          <w:p w14:paraId="48E75699"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DF2112F"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A8A1D99"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F9E7B9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DF7C67E"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5868E9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6180C6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3A04F9C"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81B1A77"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2D33EBD"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D1ACE0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85D9ADB"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6CC4BDC3" w14:textId="77777777" w:rsidTr="001E1473">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499A8672" w14:textId="565F462F" w:rsidR="004F529B" w:rsidRPr="00C51BE9" w:rsidRDefault="004F529B" w:rsidP="004F529B">
            <w:pPr>
              <w:rPr>
                <w:rFonts w:eastAsia="Times New Roman" w:cs="Calibri"/>
                <w:color w:val="000000"/>
                <w:sz w:val="20"/>
                <w:szCs w:val="20"/>
              </w:rPr>
            </w:pPr>
            <w:r w:rsidRPr="005468B4">
              <w:t>Activity 6.2 -Meeting final investigators</w:t>
            </w:r>
          </w:p>
        </w:tc>
        <w:tc>
          <w:tcPr>
            <w:tcW w:w="0" w:type="auto"/>
            <w:tcBorders>
              <w:top w:val="nil"/>
              <w:left w:val="nil"/>
              <w:bottom w:val="single" w:sz="4" w:space="0" w:color="auto"/>
              <w:right w:val="single" w:sz="4" w:space="0" w:color="auto"/>
            </w:tcBorders>
            <w:shd w:val="clear" w:color="auto" w:fill="auto"/>
            <w:vAlign w:val="center"/>
            <w:hideMark/>
          </w:tcPr>
          <w:p w14:paraId="4824A9C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191A2B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B1B15A7"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91A67BC"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50A5662"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8A0EB8F"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0798D7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234D0C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F39D46F"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8976903"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3A464E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4BF5FA2"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2F87E22C" w14:textId="77777777" w:rsidTr="001E1473">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52B0E20B" w14:textId="4ADF7D16" w:rsidR="004F529B" w:rsidRPr="004F529B" w:rsidRDefault="004F529B" w:rsidP="004F529B">
            <w:pPr>
              <w:rPr>
                <w:rFonts w:eastAsia="Times New Roman" w:cs="Calibri"/>
                <w:color w:val="000000"/>
                <w:sz w:val="20"/>
                <w:szCs w:val="20"/>
                <w:lang w:val="en-US"/>
              </w:rPr>
            </w:pPr>
            <w:r w:rsidRPr="005468B4">
              <w:t>Activity 6.3 - Preparation of articles and publications</w:t>
            </w:r>
          </w:p>
        </w:tc>
        <w:tc>
          <w:tcPr>
            <w:tcW w:w="0" w:type="auto"/>
            <w:tcBorders>
              <w:top w:val="nil"/>
              <w:left w:val="nil"/>
              <w:bottom w:val="single" w:sz="4" w:space="0" w:color="auto"/>
              <w:right w:val="single" w:sz="4" w:space="0" w:color="auto"/>
            </w:tcBorders>
            <w:shd w:val="clear" w:color="auto" w:fill="auto"/>
            <w:vAlign w:val="center"/>
            <w:hideMark/>
          </w:tcPr>
          <w:p w14:paraId="66DC91BE"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6D00662"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591A7B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FDB96E2"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638248F" w14:textId="1ABBCE68" w:rsidR="004F529B" w:rsidRPr="00C51BE9" w:rsidRDefault="004F529B" w:rsidP="004F529B">
            <w:pPr>
              <w:jc w:val="center"/>
              <w:rPr>
                <w:rFonts w:eastAsia="Times New Roman" w:cs="Calibri"/>
                <w:sz w:val="20"/>
                <w:szCs w:val="20"/>
              </w:rPr>
            </w:pPr>
            <w:r>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2DF4E39"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BC8DD7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3E4E257"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ECC01CA"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36D889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C1DB30B"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A6A6A97"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r w:rsidR="004F529B" w:rsidRPr="00C51BE9" w14:paraId="2FF011C8" w14:textId="77777777" w:rsidTr="001E1473">
        <w:trPr>
          <w:trHeight w:val="510"/>
        </w:trPr>
        <w:tc>
          <w:tcPr>
            <w:tcW w:w="0" w:type="auto"/>
            <w:tcBorders>
              <w:top w:val="nil"/>
              <w:left w:val="single" w:sz="4" w:space="0" w:color="auto"/>
              <w:bottom w:val="single" w:sz="4" w:space="0" w:color="auto"/>
              <w:right w:val="single" w:sz="4" w:space="0" w:color="auto"/>
            </w:tcBorders>
            <w:shd w:val="clear" w:color="auto" w:fill="auto"/>
            <w:hideMark/>
          </w:tcPr>
          <w:p w14:paraId="0AFC781F" w14:textId="63EAF4C9" w:rsidR="004F529B" w:rsidRPr="00C51BE9" w:rsidRDefault="004F529B" w:rsidP="004F529B">
            <w:pPr>
              <w:rPr>
                <w:rFonts w:eastAsia="Times New Roman" w:cs="Calibri"/>
                <w:color w:val="000000"/>
                <w:sz w:val="20"/>
                <w:szCs w:val="20"/>
              </w:rPr>
            </w:pPr>
            <w:r w:rsidRPr="005468B4">
              <w:t>Activity 6.4 - Presentation at a congress</w:t>
            </w:r>
          </w:p>
        </w:tc>
        <w:tc>
          <w:tcPr>
            <w:tcW w:w="0" w:type="auto"/>
            <w:tcBorders>
              <w:top w:val="nil"/>
              <w:left w:val="nil"/>
              <w:bottom w:val="single" w:sz="4" w:space="0" w:color="auto"/>
              <w:right w:val="single" w:sz="4" w:space="0" w:color="auto"/>
            </w:tcBorders>
            <w:shd w:val="clear" w:color="auto" w:fill="auto"/>
            <w:vAlign w:val="center"/>
            <w:hideMark/>
          </w:tcPr>
          <w:p w14:paraId="1298F157"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06F534D"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9DB6965"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16718EB"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B339EF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665B73B"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7331BF0"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EC3A74C"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2F5D1AD"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B797CC4"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EB43768"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X</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2BE7736" w14:textId="77777777" w:rsidR="004F529B" w:rsidRPr="00C51BE9" w:rsidRDefault="004F529B" w:rsidP="004F529B">
            <w:pPr>
              <w:jc w:val="center"/>
              <w:rPr>
                <w:rFonts w:eastAsia="Times New Roman" w:cs="Calibri"/>
                <w:sz w:val="20"/>
                <w:szCs w:val="20"/>
              </w:rPr>
            </w:pPr>
            <w:r w:rsidRPr="00C51BE9">
              <w:rPr>
                <w:rFonts w:eastAsia="Times New Roman" w:cs="Calibri"/>
                <w:sz w:val="20"/>
                <w:szCs w:val="20"/>
              </w:rPr>
              <w:t> </w:t>
            </w:r>
          </w:p>
        </w:tc>
      </w:tr>
    </w:tbl>
    <w:p w14:paraId="6B7321B1" w14:textId="77777777" w:rsidR="00E92AF3" w:rsidRPr="00E92AF3" w:rsidRDefault="00E92AF3" w:rsidP="001A74EE">
      <w:pPr>
        <w:spacing w:before="240" w:after="240" w:line="360" w:lineRule="auto"/>
        <w:rPr>
          <w:rFonts w:asciiTheme="majorHAnsi" w:hAnsiTheme="majorHAnsi" w:cstheme="majorHAnsi"/>
          <w:b/>
          <w:sz w:val="20"/>
          <w:szCs w:val="24"/>
          <w:u w:val="single"/>
          <w:lang w:val="pt-BR"/>
        </w:rPr>
      </w:pPr>
    </w:p>
    <w:p w14:paraId="728AACCE" w14:textId="0C5724E9" w:rsidR="00CF2E2C" w:rsidRPr="004F529B" w:rsidRDefault="00EB44CF" w:rsidP="001A74EE">
      <w:pPr>
        <w:spacing w:before="240" w:after="240" w:line="360" w:lineRule="auto"/>
        <w:rPr>
          <w:rFonts w:asciiTheme="majorHAnsi" w:hAnsiTheme="majorHAnsi" w:cstheme="majorHAnsi"/>
          <w:b/>
          <w:sz w:val="2"/>
          <w:szCs w:val="24"/>
          <w:u w:val="single"/>
          <w:lang w:val="en-US"/>
        </w:rPr>
      </w:pPr>
      <w:r w:rsidRPr="004F529B">
        <w:rPr>
          <w:rFonts w:asciiTheme="majorHAnsi" w:hAnsiTheme="majorHAnsi" w:cstheme="majorHAnsi"/>
          <w:b/>
          <w:sz w:val="2"/>
          <w:szCs w:val="24"/>
          <w:u w:val="single"/>
          <w:lang w:val="en-US"/>
        </w:rPr>
        <w:t>/</w:t>
      </w:r>
    </w:p>
    <w:p w14:paraId="1A01643B" w14:textId="77777777" w:rsidR="001F147A" w:rsidRPr="004F529B" w:rsidRDefault="001F147A">
      <w:pPr>
        <w:rPr>
          <w:rFonts w:asciiTheme="majorHAnsi" w:hAnsiTheme="majorHAnsi" w:cstheme="majorHAnsi"/>
          <w:b/>
          <w:sz w:val="20"/>
          <w:szCs w:val="24"/>
          <w:u w:val="single"/>
          <w:lang w:val="en-US"/>
        </w:rPr>
      </w:pPr>
      <w:r w:rsidRPr="004F529B">
        <w:rPr>
          <w:rFonts w:asciiTheme="majorHAnsi" w:hAnsiTheme="majorHAnsi" w:cstheme="majorHAnsi"/>
          <w:b/>
          <w:sz w:val="20"/>
          <w:szCs w:val="24"/>
          <w:u w:val="single"/>
          <w:lang w:val="en-US"/>
        </w:rPr>
        <w:br w:type="page"/>
      </w:r>
    </w:p>
    <w:p w14:paraId="5E3E55BB" w14:textId="423B6BC8" w:rsidR="00A636C3" w:rsidRPr="004F529B" w:rsidRDefault="004F529B" w:rsidP="001A74EE">
      <w:pPr>
        <w:spacing w:before="240" w:after="240" w:line="360" w:lineRule="auto"/>
        <w:rPr>
          <w:rFonts w:asciiTheme="majorHAnsi" w:hAnsiTheme="majorHAnsi" w:cstheme="majorHAnsi"/>
          <w:b/>
          <w:sz w:val="20"/>
          <w:szCs w:val="24"/>
          <w:u w:val="single"/>
          <w:lang w:val="en-US"/>
        </w:rPr>
      </w:pPr>
      <w:r w:rsidRPr="004F529B">
        <w:rPr>
          <w:rFonts w:asciiTheme="majorHAnsi" w:hAnsiTheme="majorHAnsi" w:cstheme="majorHAnsi"/>
          <w:b/>
          <w:sz w:val="20"/>
          <w:szCs w:val="24"/>
          <w:u w:val="single"/>
          <w:lang w:val="en-US"/>
        </w:rPr>
        <w:lastRenderedPageBreak/>
        <w:t>SCHEDULE OF EVALUATION OF THE BIPERIDENE STUDY</w:t>
      </w:r>
    </w:p>
    <w:tbl>
      <w:tblPr>
        <w:tblStyle w:val="6"/>
        <w:tblW w:w="934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42"/>
        <w:gridCol w:w="6804"/>
      </w:tblGrid>
      <w:tr w:rsidR="004F529B" w:rsidRPr="004F529B" w14:paraId="661A77F9" w14:textId="77777777" w:rsidTr="00161B82">
        <w:trPr>
          <w:trHeight w:val="357"/>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BE08C" w14:textId="5B4F59E3" w:rsidR="004F529B" w:rsidRPr="006C75EC" w:rsidRDefault="004F529B" w:rsidP="004F529B">
            <w:pPr>
              <w:spacing w:line="240" w:lineRule="auto"/>
              <w:jc w:val="both"/>
              <w:rPr>
                <w:rFonts w:asciiTheme="majorHAnsi" w:hAnsiTheme="majorHAnsi" w:cstheme="majorHAnsi"/>
                <w:b/>
                <w:sz w:val="20"/>
                <w:szCs w:val="20"/>
              </w:rPr>
            </w:pPr>
            <w:r w:rsidRPr="008C2A47">
              <w:t>Treatment</w:t>
            </w:r>
          </w:p>
        </w:tc>
        <w:tc>
          <w:tcPr>
            <w:tcW w:w="68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9206C4" w14:textId="62D75728" w:rsidR="004F529B" w:rsidRPr="004F529B" w:rsidRDefault="004F529B" w:rsidP="004F529B">
            <w:pPr>
              <w:spacing w:line="240" w:lineRule="auto"/>
              <w:jc w:val="both"/>
              <w:rPr>
                <w:rFonts w:asciiTheme="majorHAnsi" w:hAnsiTheme="majorHAnsi" w:cstheme="majorHAnsi"/>
                <w:sz w:val="20"/>
                <w:szCs w:val="20"/>
                <w:lang w:val="en-US"/>
              </w:rPr>
            </w:pPr>
            <w:r w:rsidRPr="004F529B">
              <w:rPr>
                <w:rFonts w:asciiTheme="majorHAnsi" w:hAnsiTheme="majorHAnsi" w:cstheme="majorHAnsi"/>
                <w:sz w:val="20"/>
                <w:szCs w:val="20"/>
                <w:lang w:val="en-US"/>
              </w:rPr>
              <w:t>5 mg (1 mL total volume) of biperiden lactate.</w:t>
            </w:r>
          </w:p>
        </w:tc>
      </w:tr>
      <w:tr w:rsidR="004F529B" w:rsidRPr="004F529B" w14:paraId="67824D59" w14:textId="77777777" w:rsidTr="00161B82">
        <w:trPr>
          <w:trHeight w:val="480"/>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798584" w14:textId="1EE6B40F" w:rsidR="004F529B" w:rsidRPr="00905271" w:rsidRDefault="004F529B" w:rsidP="004F529B">
            <w:pPr>
              <w:spacing w:line="240" w:lineRule="auto"/>
              <w:jc w:val="both"/>
              <w:rPr>
                <w:rFonts w:asciiTheme="majorHAnsi" w:hAnsiTheme="majorHAnsi" w:cstheme="majorHAnsi"/>
                <w:b/>
                <w:sz w:val="20"/>
                <w:szCs w:val="20"/>
                <w:lang w:val="pt-BR"/>
              </w:rPr>
            </w:pPr>
            <w:r w:rsidRPr="008C2A47">
              <w:t>Placebo</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3EE80E88" w14:textId="674D468C" w:rsidR="004F529B" w:rsidRPr="004F529B" w:rsidRDefault="004F529B" w:rsidP="004F529B">
            <w:pPr>
              <w:spacing w:line="240" w:lineRule="auto"/>
              <w:jc w:val="both"/>
              <w:rPr>
                <w:rFonts w:asciiTheme="majorHAnsi" w:hAnsiTheme="majorHAnsi" w:cstheme="majorHAnsi"/>
                <w:sz w:val="20"/>
                <w:szCs w:val="20"/>
                <w:lang w:val="en-US"/>
              </w:rPr>
            </w:pPr>
            <w:r w:rsidRPr="004F529B">
              <w:rPr>
                <w:rFonts w:asciiTheme="majorHAnsi" w:hAnsiTheme="majorHAnsi" w:cstheme="majorHAnsi"/>
                <w:sz w:val="20"/>
                <w:szCs w:val="20"/>
                <w:lang w:val="en-US"/>
              </w:rPr>
              <w:t>1 mL lactate diluted in sterile water for injection.</w:t>
            </w:r>
          </w:p>
        </w:tc>
      </w:tr>
      <w:tr w:rsidR="004F529B" w:rsidRPr="00DE7F07" w14:paraId="6A9EBF49" w14:textId="77777777" w:rsidTr="00161B82">
        <w:trPr>
          <w:trHeight w:val="142"/>
        </w:trPr>
        <w:tc>
          <w:tcPr>
            <w:tcW w:w="254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DE3649" w14:textId="0CEFECFA" w:rsidR="004F529B" w:rsidRPr="00905271" w:rsidRDefault="004F529B" w:rsidP="004F529B">
            <w:pPr>
              <w:spacing w:line="240" w:lineRule="auto"/>
              <w:jc w:val="both"/>
              <w:rPr>
                <w:rFonts w:asciiTheme="majorHAnsi" w:hAnsiTheme="majorHAnsi" w:cstheme="majorHAnsi"/>
                <w:b/>
                <w:sz w:val="20"/>
                <w:szCs w:val="20"/>
                <w:lang w:val="pt-BR"/>
              </w:rPr>
            </w:pPr>
            <w:r w:rsidRPr="008C2A47">
              <w:t>Via</w:t>
            </w:r>
          </w:p>
        </w:tc>
        <w:tc>
          <w:tcPr>
            <w:tcW w:w="6804" w:type="dxa"/>
            <w:tcBorders>
              <w:top w:val="nil"/>
              <w:left w:val="nil"/>
              <w:bottom w:val="single" w:sz="8" w:space="0" w:color="000000"/>
              <w:right w:val="single" w:sz="8" w:space="0" w:color="000000"/>
            </w:tcBorders>
            <w:tcMar>
              <w:top w:w="100" w:type="dxa"/>
              <w:left w:w="100" w:type="dxa"/>
              <w:bottom w:w="100" w:type="dxa"/>
              <w:right w:w="100" w:type="dxa"/>
            </w:tcMar>
          </w:tcPr>
          <w:p w14:paraId="43D55806" w14:textId="12D4C5FE" w:rsidR="004F529B" w:rsidRPr="00905271" w:rsidRDefault="004F529B" w:rsidP="004F529B">
            <w:pPr>
              <w:spacing w:line="240" w:lineRule="auto"/>
              <w:jc w:val="both"/>
              <w:rPr>
                <w:rFonts w:asciiTheme="majorHAnsi" w:hAnsiTheme="majorHAnsi" w:cstheme="majorHAnsi"/>
                <w:sz w:val="20"/>
                <w:szCs w:val="20"/>
                <w:lang w:val="pt-BR"/>
              </w:rPr>
            </w:pPr>
            <w:r w:rsidRPr="004F529B">
              <w:rPr>
                <w:rFonts w:asciiTheme="majorHAnsi" w:hAnsiTheme="majorHAnsi" w:cstheme="majorHAnsi"/>
                <w:sz w:val="20"/>
                <w:szCs w:val="20"/>
                <w:lang w:val="pt-BR"/>
              </w:rPr>
              <w:t>Intravenous route 6/6 hours</w:t>
            </w:r>
          </w:p>
        </w:tc>
      </w:tr>
      <w:tr w:rsidR="004F529B" w:rsidRPr="004F529B" w14:paraId="13141F5F" w14:textId="77777777" w:rsidTr="00882BFE">
        <w:trPr>
          <w:trHeight w:val="147"/>
        </w:trPr>
        <w:tc>
          <w:tcPr>
            <w:tcW w:w="2542"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671D3CF1" w14:textId="4ACB130F" w:rsidR="004F529B" w:rsidRPr="006C75EC" w:rsidRDefault="004F529B" w:rsidP="004F529B">
            <w:pPr>
              <w:spacing w:line="240" w:lineRule="auto"/>
              <w:jc w:val="both"/>
              <w:rPr>
                <w:rFonts w:asciiTheme="majorHAnsi" w:hAnsiTheme="majorHAnsi" w:cstheme="majorHAnsi"/>
                <w:b/>
                <w:sz w:val="20"/>
                <w:szCs w:val="20"/>
              </w:rPr>
            </w:pPr>
            <w:r w:rsidRPr="008C2A47">
              <w:t>Treatment Period</w:t>
            </w:r>
          </w:p>
        </w:tc>
        <w:tc>
          <w:tcPr>
            <w:tcW w:w="6804" w:type="dxa"/>
            <w:tcBorders>
              <w:top w:val="nil"/>
              <w:left w:val="nil"/>
              <w:bottom w:val="single" w:sz="4" w:space="0" w:color="auto"/>
              <w:right w:val="single" w:sz="8" w:space="0" w:color="000000"/>
            </w:tcBorders>
            <w:tcMar>
              <w:top w:w="100" w:type="dxa"/>
              <w:left w:w="100" w:type="dxa"/>
              <w:bottom w:w="100" w:type="dxa"/>
              <w:right w:w="100" w:type="dxa"/>
            </w:tcMar>
          </w:tcPr>
          <w:p w14:paraId="67B7D931" w14:textId="5A0F268D" w:rsidR="004F529B" w:rsidRPr="004F529B" w:rsidRDefault="004F529B" w:rsidP="004F529B">
            <w:pPr>
              <w:spacing w:line="240" w:lineRule="auto"/>
              <w:jc w:val="both"/>
              <w:rPr>
                <w:rFonts w:asciiTheme="majorHAnsi" w:hAnsiTheme="majorHAnsi" w:cstheme="majorHAnsi"/>
                <w:b/>
                <w:sz w:val="20"/>
                <w:szCs w:val="20"/>
                <w:lang w:val="en-US"/>
              </w:rPr>
            </w:pPr>
            <w:r w:rsidRPr="004F529B">
              <w:rPr>
                <w:rFonts w:asciiTheme="majorHAnsi" w:hAnsiTheme="majorHAnsi" w:cstheme="majorHAnsi"/>
                <w:b/>
                <w:sz w:val="20"/>
                <w:szCs w:val="20"/>
                <w:lang w:val="en-US"/>
              </w:rPr>
              <w:t>(</w:t>
            </w:r>
            <w:proofErr w:type="gramStart"/>
            <w:r w:rsidRPr="004F529B">
              <w:rPr>
                <w:rFonts w:asciiTheme="majorHAnsi" w:hAnsiTheme="majorHAnsi" w:cstheme="majorHAnsi"/>
                <w:b/>
                <w:sz w:val="20"/>
                <w:szCs w:val="20"/>
                <w:lang w:val="en-US"/>
              </w:rPr>
              <w:t>rand</w:t>
            </w:r>
            <w:proofErr w:type="gramEnd"/>
            <w:r w:rsidRPr="004F529B">
              <w:rPr>
                <w:rFonts w:asciiTheme="majorHAnsi" w:hAnsiTheme="majorHAnsi" w:cstheme="majorHAnsi"/>
                <w:b/>
                <w:sz w:val="20"/>
                <w:szCs w:val="20"/>
                <w:lang w:val="en-US"/>
              </w:rPr>
              <w:t>.) D1, D2, D3, D4, D5, D6, D7, D8, D9, D10. D1 is the day of randomization on which the patient MUST receive the drug/placebo.</w:t>
            </w:r>
          </w:p>
        </w:tc>
      </w:tr>
      <w:tr w:rsidR="004F529B" w:rsidRPr="004F529B" w14:paraId="0EC03946" w14:textId="77777777" w:rsidTr="00882BFE">
        <w:trPr>
          <w:trHeight w:val="147"/>
        </w:trPr>
        <w:tc>
          <w:tcPr>
            <w:tcW w:w="2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D150" w14:textId="014CE25A" w:rsidR="004F529B" w:rsidRPr="006C75EC" w:rsidRDefault="004F529B" w:rsidP="004F529B">
            <w:pPr>
              <w:spacing w:line="240" w:lineRule="auto"/>
              <w:jc w:val="both"/>
              <w:rPr>
                <w:rFonts w:asciiTheme="majorHAnsi" w:hAnsiTheme="majorHAnsi" w:cstheme="majorHAnsi"/>
                <w:b/>
                <w:sz w:val="20"/>
                <w:szCs w:val="20"/>
              </w:rPr>
            </w:pPr>
            <w:r w:rsidRPr="008C2A47">
              <w:t>Follow-up period 1</w:t>
            </w:r>
          </w:p>
        </w:tc>
        <w:tc>
          <w:tcPr>
            <w:tcW w:w="68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827D29" w14:textId="77777777" w:rsidR="004F529B" w:rsidRPr="004F529B" w:rsidRDefault="004F529B" w:rsidP="004F529B">
            <w:pPr>
              <w:spacing w:line="240" w:lineRule="auto"/>
              <w:jc w:val="both"/>
              <w:rPr>
                <w:rFonts w:asciiTheme="majorHAnsi" w:hAnsiTheme="majorHAnsi" w:cstheme="majorHAnsi"/>
                <w:b/>
                <w:sz w:val="20"/>
                <w:szCs w:val="20"/>
                <w:lang w:val="en-US"/>
              </w:rPr>
            </w:pPr>
            <w:r w:rsidRPr="004F529B">
              <w:rPr>
                <w:rFonts w:asciiTheme="majorHAnsi" w:hAnsiTheme="majorHAnsi" w:cstheme="majorHAnsi"/>
                <w:b/>
                <w:sz w:val="20"/>
                <w:szCs w:val="20"/>
                <w:lang w:val="en-US"/>
              </w:rPr>
              <w:t>Essential follow-ups from D1: 3, 12 and 24 months</w:t>
            </w:r>
          </w:p>
          <w:p w14:paraId="51CBB3DE" w14:textId="24086E41" w:rsidR="004F529B" w:rsidRPr="004F529B" w:rsidRDefault="004F529B" w:rsidP="004F529B">
            <w:pPr>
              <w:spacing w:line="240" w:lineRule="auto"/>
              <w:jc w:val="both"/>
              <w:rPr>
                <w:rFonts w:asciiTheme="majorHAnsi" w:hAnsiTheme="majorHAnsi" w:cstheme="majorHAnsi"/>
                <w:b/>
                <w:sz w:val="20"/>
                <w:szCs w:val="20"/>
                <w:lang w:val="en-US"/>
              </w:rPr>
            </w:pPr>
            <w:r w:rsidRPr="004F529B">
              <w:rPr>
                <w:rFonts w:asciiTheme="majorHAnsi" w:hAnsiTheme="majorHAnsi" w:cstheme="majorHAnsi"/>
                <w:b/>
                <w:sz w:val="20"/>
                <w:szCs w:val="20"/>
                <w:lang w:val="en-US"/>
              </w:rPr>
              <w:t>Follow-up visits should be scheduled at patient discharge. For these follow-up points, a variation of ± 5 days can be tolerated (due to holidays or unavailability), however, the centers will be instructed to avoid missing the correct date.</w:t>
            </w:r>
          </w:p>
        </w:tc>
      </w:tr>
      <w:tr w:rsidR="004F529B" w:rsidRPr="004F529B" w14:paraId="7A4C3A32" w14:textId="77777777" w:rsidTr="00E92AF3">
        <w:trPr>
          <w:trHeight w:val="147"/>
        </w:trPr>
        <w:tc>
          <w:tcPr>
            <w:tcW w:w="25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723AD5" w14:textId="3BFCD685" w:rsidR="004F529B" w:rsidRPr="006C75EC" w:rsidRDefault="004F529B" w:rsidP="004F529B">
            <w:pPr>
              <w:spacing w:line="240" w:lineRule="auto"/>
              <w:jc w:val="both"/>
              <w:rPr>
                <w:rFonts w:asciiTheme="majorHAnsi" w:hAnsiTheme="majorHAnsi" w:cstheme="majorHAnsi"/>
                <w:b/>
                <w:sz w:val="20"/>
                <w:szCs w:val="20"/>
              </w:rPr>
            </w:pPr>
            <w:r w:rsidRPr="008C2A47">
              <w:t>Follow-up period 2</w:t>
            </w:r>
          </w:p>
        </w:tc>
        <w:tc>
          <w:tcPr>
            <w:tcW w:w="68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11C174" w14:textId="77777777" w:rsidR="004F529B" w:rsidRPr="004F529B" w:rsidRDefault="004F529B" w:rsidP="004F529B">
            <w:pPr>
              <w:spacing w:line="240" w:lineRule="auto"/>
              <w:jc w:val="both"/>
              <w:rPr>
                <w:rFonts w:asciiTheme="majorHAnsi" w:hAnsiTheme="majorHAnsi" w:cstheme="majorHAnsi"/>
                <w:b/>
                <w:sz w:val="20"/>
                <w:szCs w:val="20"/>
                <w:lang w:val="en-US"/>
              </w:rPr>
            </w:pPr>
            <w:r w:rsidRPr="004F529B">
              <w:rPr>
                <w:rFonts w:asciiTheme="majorHAnsi" w:hAnsiTheme="majorHAnsi" w:cstheme="majorHAnsi"/>
                <w:b/>
                <w:sz w:val="20"/>
                <w:szCs w:val="20"/>
                <w:lang w:val="en-US"/>
              </w:rPr>
              <w:t>Patient follow-up to assess clinical evolution: 1, 6, 9 and 18 months from D1.</w:t>
            </w:r>
          </w:p>
          <w:p w14:paraId="4C47D1E6" w14:textId="6837639E" w:rsidR="004F529B" w:rsidRPr="004F529B" w:rsidRDefault="004F529B" w:rsidP="004F529B">
            <w:pPr>
              <w:spacing w:line="240" w:lineRule="auto"/>
              <w:jc w:val="both"/>
              <w:rPr>
                <w:rFonts w:asciiTheme="majorHAnsi" w:hAnsiTheme="majorHAnsi" w:cstheme="majorHAnsi"/>
                <w:b/>
                <w:sz w:val="20"/>
                <w:szCs w:val="20"/>
                <w:lang w:val="en-US"/>
              </w:rPr>
            </w:pPr>
            <w:r w:rsidRPr="004F529B">
              <w:rPr>
                <w:rFonts w:asciiTheme="majorHAnsi" w:hAnsiTheme="majorHAnsi" w:cstheme="majorHAnsi"/>
                <w:b/>
                <w:sz w:val="20"/>
                <w:szCs w:val="20"/>
                <w:lang w:val="en-US"/>
              </w:rPr>
              <w:t>Follow-up visits should be scheduled at patient discharge. For these follow-up points, a variation of ± 15 days can be tolerated (due to holidays or unavailability), however, the centers will be instructed to avoid missing the correct date.</w:t>
            </w:r>
          </w:p>
        </w:tc>
      </w:tr>
    </w:tbl>
    <w:p w14:paraId="06042894" w14:textId="3CFA8AEA" w:rsidR="00A636C3" w:rsidRPr="004F529B" w:rsidRDefault="00A636C3">
      <w:pPr>
        <w:spacing w:after="160" w:line="360" w:lineRule="auto"/>
        <w:jc w:val="both"/>
        <w:rPr>
          <w:rFonts w:asciiTheme="majorHAnsi" w:hAnsiTheme="majorHAnsi" w:cstheme="majorHAnsi"/>
          <w:b/>
          <w:lang w:val="en-US"/>
        </w:rPr>
      </w:pPr>
    </w:p>
    <w:p w14:paraId="0F48C155" w14:textId="6F7D724C" w:rsidR="008A4584" w:rsidRPr="00882BFE" w:rsidRDefault="00700A6F" w:rsidP="00EB44CF">
      <w:pPr>
        <w:spacing w:after="160" w:line="360" w:lineRule="auto"/>
        <w:jc w:val="both"/>
        <w:rPr>
          <w:rFonts w:asciiTheme="majorHAnsi" w:hAnsiTheme="majorHAnsi" w:cstheme="majorHAnsi"/>
          <w:b/>
          <w:lang w:val="pt-BR"/>
        </w:rPr>
      </w:pPr>
      <w:r w:rsidRPr="00700A6F">
        <w:rPr>
          <w:noProof/>
        </w:rPr>
        <w:drawing>
          <wp:inline distT="0" distB="0" distL="0" distR="0" wp14:anchorId="0EECCD76" wp14:editId="40FE26DE">
            <wp:extent cx="5943600" cy="248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83485"/>
                    </a:xfrm>
                    <a:prstGeom prst="rect">
                      <a:avLst/>
                    </a:prstGeom>
                    <a:noFill/>
                    <a:ln>
                      <a:noFill/>
                    </a:ln>
                  </pic:spPr>
                </pic:pic>
              </a:graphicData>
            </a:graphic>
          </wp:inline>
        </w:drawing>
      </w:r>
    </w:p>
    <w:tbl>
      <w:tblPr>
        <w:tblStyle w:val="4"/>
        <w:tblpPr w:leftFromText="141" w:rightFromText="141" w:vertAnchor="text" w:horzAnchor="margin" w:tblpY="181"/>
        <w:tblW w:w="9360" w:type="dxa"/>
        <w:tblInd w:w="0" w:type="dxa"/>
        <w:tblLayout w:type="fixed"/>
        <w:tblLook w:val="0400" w:firstRow="0" w:lastRow="0" w:firstColumn="0" w:lastColumn="0" w:noHBand="0" w:noVBand="1"/>
      </w:tblPr>
      <w:tblGrid>
        <w:gridCol w:w="2046"/>
        <w:gridCol w:w="6197"/>
        <w:gridCol w:w="897"/>
        <w:gridCol w:w="220"/>
      </w:tblGrid>
      <w:tr w:rsidR="00ED1086" w:rsidRPr="004474EF" w14:paraId="239BF425" w14:textId="77777777" w:rsidTr="00ED1086">
        <w:trPr>
          <w:trHeight w:val="240"/>
        </w:trPr>
        <w:tc>
          <w:tcPr>
            <w:tcW w:w="9360" w:type="dxa"/>
            <w:gridSpan w:val="4"/>
            <w:tcBorders>
              <w:top w:val="nil"/>
              <w:left w:val="nil"/>
              <w:bottom w:val="nil"/>
              <w:right w:val="nil"/>
            </w:tcBorders>
            <w:shd w:val="clear" w:color="auto" w:fill="31869B"/>
            <w:vAlign w:val="center"/>
          </w:tcPr>
          <w:p w14:paraId="34650C77" w14:textId="24F7EBF9" w:rsidR="00ED1086" w:rsidRPr="00882BFE" w:rsidRDefault="004F529B" w:rsidP="00ED1086">
            <w:pPr>
              <w:jc w:val="center"/>
              <w:rPr>
                <w:rFonts w:asciiTheme="majorHAnsi" w:hAnsiTheme="majorHAnsi" w:cstheme="majorHAnsi"/>
                <w:b/>
                <w:color w:val="FFFFFF"/>
                <w:lang w:val="pt-BR"/>
              </w:rPr>
            </w:pPr>
            <w:r>
              <w:rPr>
                <w:rFonts w:asciiTheme="majorHAnsi" w:hAnsiTheme="majorHAnsi" w:cstheme="majorHAnsi"/>
                <w:b/>
                <w:color w:val="FFFFFF"/>
                <w:lang w:val="pt-BR"/>
              </w:rPr>
              <w:t>D</w:t>
            </w:r>
            <w:r w:rsidRPr="004F529B">
              <w:rPr>
                <w:rFonts w:asciiTheme="majorHAnsi" w:hAnsiTheme="majorHAnsi" w:cstheme="majorHAnsi"/>
                <w:b/>
                <w:color w:val="FFFFFF"/>
                <w:lang w:val="pt-BR"/>
              </w:rPr>
              <w:t>eliveries</w:t>
            </w:r>
          </w:p>
        </w:tc>
      </w:tr>
      <w:tr w:rsidR="00ED1086" w:rsidRPr="004474EF" w14:paraId="777DA4E7" w14:textId="77777777" w:rsidTr="00ED1086">
        <w:trPr>
          <w:trHeight w:val="320"/>
        </w:trPr>
        <w:tc>
          <w:tcPr>
            <w:tcW w:w="2046" w:type="dxa"/>
            <w:tcBorders>
              <w:top w:val="nil"/>
              <w:left w:val="nil"/>
              <w:bottom w:val="nil"/>
              <w:right w:val="nil"/>
            </w:tcBorders>
            <w:shd w:val="clear" w:color="auto" w:fill="auto"/>
            <w:vAlign w:val="bottom"/>
          </w:tcPr>
          <w:p w14:paraId="30F1EAC9" w14:textId="77777777" w:rsidR="00ED1086" w:rsidRPr="00882BFE" w:rsidRDefault="00ED1086" w:rsidP="00ED1086">
            <w:pPr>
              <w:jc w:val="center"/>
              <w:rPr>
                <w:rFonts w:asciiTheme="majorHAnsi" w:hAnsiTheme="majorHAnsi" w:cstheme="majorHAnsi"/>
                <w:b/>
                <w:lang w:val="pt-BR"/>
              </w:rPr>
            </w:pPr>
          </w:p>
        </w:tc>
        <w:tc>
          <w:tcPr>
            <w:tcW w:w="7314" w:type="dxa"/>
            <w:gridSpan w:val="3"/>
            <w:tcBorders>
              <w:top w:val="nil"/>
              <w:left w:val="nil"/>
              <w:bottom w:val="nil"/>
              <w:right w:val="nil"/>
            </w:tcBorders>
            <w:shd w:val="clear" w:color="auto" w:fill="auto"/>
            <w:vAlign w:val="bottom"/>
          </w:tcPr>
          <w:p w14:paraId="4BC8F577" w14:textId="27F3DE3E" w:rsidR="00ED1086" w:rsidRPr="00882BFE" w:rsidRDefault="00742F15" w:rsidP="00ED1086">
            <w:pPr>
              <w:rPr>
                <w:rFonts w:asciiTheme="majorHAnsi" w:hAnsiTheme="majorHAnsi" w:cstheme="majorHAnsi"/>
                <w:b/>
                <w:lang w:val="pt-BR"/>
              </w:rPr>
            </w:pPr>
            <w:r w:rsidRPr="00742F15">
              <w:rPr>
                <w:rFonts w:asciiTheme="majorHAnsi" w:hAnsiTheme="majorHAnsi" w:cstheme="majorHAnsi"/>
                <w:b/>
                <w:lang w:val="pt-BR"/>
              </w:rPr>
              <w:t>Detailing</w:t>
            </w:r>
          </w:p>
        </w:tc>
      </w:tr>
      <w:tr w:rsidR="00ED1086" w:rsidRPr="00CA1E64" w14:paraId="51EAB006" w14:textId="77777777" w:rsidTr="00ED1086">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15B4F" w14:textId="1D33552D" w:rsidR="00ED1086" w:rsidRPr="00882BFE" w:rsidRDefault="00742F15" w:rsidP="00ED1086">
            <w:pPr>
              <w:spacing w:line="276" w:lineRule="auto"/>
              <w:rPr>
                <w:rFonts w:asciiTheme="majorHAnsi" w:hAnsiTheme="majorHAnsi" w:cstheme="majorHAnsi"/>
                <w:b/>
                <w:sz w:val="20"/>
                <w:szCs w:val="20"/>
                <w:lang w:val="pt-BR"/>
              </w:rPr>
            </w:pPr>
            <w:r w:rsidRPr="00742F15">
              <w:rPr>
                <w:rFonts w:asciiTheme="majorHAnsi" w:hAnsiTheme="majorHAnsi" w:cstheme="majorHAnsi"/>
                <w:b/>
                <w:sz w:val="20"/>
                <w:szCs w:val="20"/>
                <w:lang w:val="pt-BR"/>
              </w:rPr>
              <w:t xml:space="preserve">Delivery </w:t>
            </w:r>
            <w:r w:rsidR="00ED1086" w:rsidRPr="00882BFE">
              <w:rPr>
                <w:rFonts w:asciiTheme="majorHAnsi" w:hAnsiTheme="majorHAnsi" w:cstheme="majorHAnsi"/>
                <w:b/>
                <w:sz w:val="20"/>
                <w:szCs w:val="20"/>
                <w:lang w:val="pt-BR"/>
              </w:rPr>
              <w:t xml:space="preserve">1 </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68088CCF" w14:textId="7DDEE0AB" w:rsidR="00ED1086" w:rsidRPr="00412E44" w:rsidRDefault="00742F15" w:rsidP="00ED1086">
            <w:pPr>
              <w:rPr>
                <w:rFonts w:asciiTheme="majorHAnsi" w:hAnsiTheme="majorHAnsi" w:cstheme="majorHAnsi"/>
                <w:b/>
                <w:sz w:val="20"/>
                <w:szCs w:val="20"/>
                <w:lang w:val="pt-BR"/>
              </w:rPr>
            </w:pPr>
            <w:r w:rsidRPr="00742F15">
              <w:rPr>
                <w:rFonts w:asciiTheme="majorHAnsi" w:eastAsia="Times New Roman" w:hAnsiTheme="majorHAnsi" w:cstheme="majorHAnsi"/>
                <w:b/>
                <w:bCs/>
                <w:sz w:val="18"/>
                <w:szCs w:val="18"/>
                <w:lang w:val="pt-BR"/>
              </w:rPr>
              <w:t>Project Planning and Coordination</w:t>
            </w:r>
          </w:p>
        </w:tc>
        <w:tc>
          <w:tcPr>
            <w:tcW w:w="897" w:type="dxa"/>
            <w:tcBorders>
              <w:top w:val="single" w:sz="4" w:space="0" w:color="000000"/>
              <w:left w:val="nil"/>
              <w:bottom w:val="single" w:sz="4" w:space="0" w:color="000000"/>
              <w:right w:val="nil"/>
            </w:tcBorders>
            <w:shd w:val="clear" w:color="auto" w:fill="auto"/>
            <w:vAlign w:val="bottom"/>
          </w:tcPr>
          <w:p w14:paraId="2B0EDA5C" w14:textId="77777777" w:rsidR="00ED1086" w:rsidRPr="00412E44" w:rsidRDefault="00ED1086" w:rsidP="00ED1086">
            <w:pPr>
              <w:rPr>
                <w:rFonts w:asciiTheme="majorHAnsi" w:hAnsiTheme="majorHAnsi" w:cstheme="majorHAnsi"/>
                <w:sz w:val="20"/>
                <w:szCs w:val="20"/>
                <w:lang w:val="pt-BR"/>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73DBCA3E" w14:textId="77777777" w:rsidR="00ED1086" w:rsidRPr="00412E44" w:rsidRDefault="00ED1086" w:rsidP="00ED1086">
            <w:pPr>
              <w:rPr>
                <w:rFonts w:asciiTheme="majorHAnsi" w:hAnsiTheme="majorHAnsi" w:cstheme="majorHAnsi"/>
                <w:sz w:val="20"/>
                <w:szCs w:val="20"/>
                <w:lang w:val="pt-BR"/>
              </w:rPr>
            </w:pPr>
          </w:p>
        </w:tc>
      </w:tr>
      <w:tr w:rsidR="00ED1086" w:rsidRPr="00742F15" w14:paraId="2316CC74" w14:textId="77777777" w:rsidTr="00ED1086">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FA7A1" w14:textId="5ED4F765" w:rsidR="00ED1086" w:rsidRPr="00412E44" w:rsidRDefault="00742F15" w:rsidP="00ED1086">
            <w:pPr>
              <w:spacing w:line="276" w:lineRule="auto"/>
              <w:rPr>
                <w:rFonts w:asciiTheme="majorHAnsi" w:hAnsiTheme="majorHAnsi" w:cstheme="majorHAnsi"/>
                <w:b/>
                <w:sz w:val="20"/>
                <w:szCs w:val="20"/>
              </w:rPr>
            </w:pPr>
            <w:r w:rsidRPr="00742F15">
              <w:rPr>
                <w:rFonts w:asciiTheme="majorHAnsi" w:hAnsiTheme="majorHAnsi" w:cstheme="majorHAnsi"/>
                <w:b/>
                <w:sz w:val="20"/>
                <w:szCs w:val="20"/>
                <w:lang w:val="pt-BR"/>
              </w:rPr>
              <w:t xml:space="preserve">Delivery </w:t>
            </w:r>
            <w:r w:rsidR="00ED1086" w:rsidRPr="00412E44">
              <w:rPr>
                <w:rFonts w:asciiTheme="majorHAnsi" w:hAnsiTheme="majorHAnsi" w:cstheme="majorHAnsi"/>
                <w:b/>
                <w:sz w:val="20"/>
                <w:szCs w:val="20"/>
              </w:rPr>
              <w:t>2</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5D7E8FF9" w14:textId="572C85B4" w:rsidR="00ED1086" w:rsidRPr="00742F15" w:rsidRDefault="00742F15" w:rsidP="00742F15">
            <w:pPr>
              <w:rPr>
                <w:rFonts w:asciiTheme="majorHAnsi" w:hAnsiTheme="majorHAnsi" w:cstheme="majorHAnsi"/>
                <w:b/>
                <w:sz w:val="20"/>
                <w:szCs w:val="20"/>
                <w:lang w:val="en-US"/>
              </w:rPr>
            </w:pPr>
            <w:r w:rsidRPr="00742F15">
              <w:rPr>
                <w:rFonts w:asciiTheme="majorHAnsi" w:eastAsia="Times New Roman" w:hAnsiTheme="majorHAnsi" w:cstheme="majorHAnsi"/>
                <w:b/>
                <w:bCs/>
                <w:color w:val="000000"/>
                <w:sz w:val="18"/>
                <w:szCs w:val="18"/>
                <w:lang w:val="en-US"/>
              </w:rPr>
              <w:t>Design of project flows and regulatory stage</w:t>
            </w:r>
          </w:p>
        </w:tc>
        <w:tc>
          <w:tcPr>
            <w:tcW w:w="897" w:type="dxa"/>
            <w:tcBorders>
              <w:top w:val="single" w:sz="4" w:space="0" w:color="000000"/>
              <w:left w:val="nil"/>
              <w:bottom w:val="single" w:sz="4" w:space="0" w:color="000000"/>
              <w:right w:val="nil"/>
            </w:tcBorders>
            <w:shd w:val="clear" w:color="auto" w:fill="auto"/>
            <w:vAlign w:val="bottom"/>
          </w:tcPr>
          <w:p w14:paraId="5B661E0B" w14:textId="77777777" w:rsidR="00ED1086" w:rsidRPr="00742F15" w:rsidRDefault="00ED1086" w:rsidP="00ED1086">
            <w:pPr>
              <w:rPr>
                <w:rFonts w:asciiTheme="majorHAnsi" w:hAnsiTheme="majorHAnsi" w:cstheme="majorHAnsi"/>
                <w:sz w:val="20"/>
                <w:szCs w:val="20"/>
                <w:lang w:val="en-US"/>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779B7CFC" w14:textId="77777777" w:rsidR="00ED1086" w:rsidRPr="00742F15" w:rsidRDefault="00ED1086" w:rsidP="00ED1086">
            <w:pPr>
              <w:rPr>
                <w:rFonts w:asciiTheme="majorHAnsi" w:hAnsiTheme="majorHAnsi" w:cstheme="majorHAnsi"/>
                <w:sz w:val="20"/>
                <w:szCs w:val="20"/>
                <w:lang w:val="en-US"/>
              </w:rPr>
            </w:pPr>
          </w:p>
        </w:tc>
      </w:tr>
    </w:tbl>
    <w:tbl>
      <w:tblPr>
        <w:tblStyle w:val="4"/>
        <w:tblW w:w="9360" w:type="dxa"/>
        <w:tblInd w:w="0" w:type="dxa"/>
        <w:tblLayout w:type="fixed"/>
        <w:tblLook w:val="0400" w:firstRow="0" w:lastRow="0" w:firstColumn="0" w:lastColumn="0" w:noHBand="0" w:noVBand="1"/>
      </w:tblPr>
      <w:tblGrid>
        <w:gridCol w:w="2046"/>
        <w:gridCol w:w="6197"/>
        <w:gridCol w:w="897"/>
        <w:gridCol w:w="220"/>
      </w:tblGrid>
      <w:tr w:rsidR="007B06F0" w:rsidRPr="00412E44" w14:paraId="004759D4" w14:textId="77777777" w:rsidTr="007B06F0">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E7204" w14:textId="17892872" w:rsidR="007B06F0" w:rsidRPr="00412E44" w:rsidRDefault="00742F15" w:rsidP="007B06F0">
            <w:pPr>
              <w:rPr>
                <w:rFonts w:asciiTheme="majorHAnsi" w:hAnsiTheme="majorHAnsi" w:cstheme="majorHAnsi"/>
                <w:b/>
                <w:sz w:val="20"/>
                <w:szCs w:val="20"/>
              </w:rPr>
            </w:pPr>
            <w:r w:rsidRPr="00742F15">
              <w:rPr>
                <w:rFonts w:asciiTheme="majorHAnsi" w:hAnsiTheme="majorHAnsi" w:cstheme="majorHAnsi"/>
                <w:b/>
                <w:sz w:val="20"/>
                <w:szCs w:val="20"/>
                <w:lang w:val="pt-BR"/>
              </w:rPr>
              <w:lastRenderedPageBreak/>
              <w:t xml:space="preserve">Delivery </w:t>
            </w:r>
            <w:r w:rsidR="007B06F0" w:rsidRPr="00412E44">
              <w:rPr>
                <w:rFonts w:asciiTheme="majorHAnsi" w:hAnsiTheme="majorHAnsi" w:cstheme="majorHAnsi"/>
                <w:b/>
                <w:sz w:val="20"/>
                <w:szCs w:val="20"/>
              </w:rPr>
              <w:t>3</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3C18C11F" w14:textId="0A222074" w:rsidR="007B06F0" w:rsidRPr="00742F15" w:rsidRDefault="00742F15" w:rsidP="00742F15">
            <w:pPr>
              <w:rPr>
                <w:rFonts w:asciiTheme="majorHAnsi" w:hAnsiTheme="majorHAnsi" w:cstheme="majorHAnsi"/>
                <w:b/>
                <w:sz w:val="20"/>
                <w:szCs w:val="20"/>
                <w:lang w:val="en-US"/>
              </w:rPr>
            </w:pPr>
            <w:r w:rsidRPr="00742F15">
              <w:rPr>
                <w:rFonts w:asciiTheme="majorHAnsi" w:eastAsia="Times New Roman" w:hAnsiTheme="majorHAnsi" w:cstheme="majorHAnsi"/>
                <w:b/>
                <w:bCs/>
                <w:color w:val="000000"/>
                <w:sz w:val="18"/>
                <w:szCs w:val="18"/>
                <w:lang w:val="en-US"/>
              </w:rPr>
              <w:t>Resources needed for the project</w:t>
            </w:r>
          </w:p>
        </w:tc>
        <w:tc>
          <w:tcPr>
            <w:tcW w:w="897" w:type="dxa"/>
            <w:tcBorders>
              <w:top w:val="single" w:sz="4" w:space="0" w:color="000000"/>
              <w:left w:val="nil"/>
              <w:bottom w:val="single" w:sz="4" w:space="0" w:color="000000"/>
              <w:right w:val="nil"/>
            </w:tcBorders>
            <w:shd w:val="clear" w:color="auto" w:fill="auto"/>
            <w:vAlign w:val="bottom"/>
          </w:tcPr>
          <w:p w14:paraId="1CB5888C" w14:textId="77777777" w:rsidR="007B06F0" w:rsidRPr="00412E44" w:rsidRDefault="007B06F0" w:rsidP="007B06F0">
            <w:pPr>
              <w:rPr>
                <w:rFonts w:asciiTheme="majorHAnsi" w:hAnsiTheme="majorHAnsi" w:cstheme="majorHAnsi"/>
                <w:sz w:val="20"/>
                <w:szCs w:val="20"/>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7B4424DE" w14:textId="77777777" w:rsidR="007B06F0" w:rsidRPr="00412E44" w:rsidRDefault="007B06F0" w:rsidP="007B06F0">
            <w:pPr>
              <w:rPr>
                <w:rFonts w:asciiTheme="majorHAnsi" w:hAnsiTheme="majorHAnsi" w:cstheme="majorHAnsi"/>
                <w:sz w:val="20"/>
                <w:szCs w:val="20"/>
              </w:rPr>
            </w:pPr>
          </w:p>
        </w:tc>
      </w:tr>
      <w:tr w:rsidR="007B06F0" w:rsidRPr="00412E44" w14:paraId="24D61F9E" w14:textId="77777777" w:rsidTr="007B06F0">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DD32F" w14:textId="7A193C42" w:rsidR="007B06F0" w:rsidRPr="00412E44" w:rsidRDefault="00742F15" w:rsidP="007B06F0">
            <w:pPr>
              <w:rPr>
                <w:rFonts w:asciiTheme="majorHAnsi" w:hAnsiTheme="majorHAnsi" w:cstheme="majorHAnsi"/>
                <w:b/>
                <w:sz w:val="20"/>
                <w:szCs w:val="20"/>
              </w:rPr>
            </w:pPr>
            <w:r w:rsidRPr="00742F15">
              <w:rPr>
                <w:rFonts w:asciiTheme="majorHAnsi" w:hAnsiTheme="majorHAnsi" w:cstheme="majorHAnsi"/>
                <w:b/>
                <w:sz w:val="20"/>
                <w:szCs w:val="20"/>
                <w:lang w:val="pt-BR"/>
              </w:rPr>
              <w:t xml:space="preserve">Delivery </w:t>
            </w:r>
            <w:r w:rsidR="007B06F0" w:rsidRPr="00412E44">
              <w:rPr>
                <w:rFonts w:asciiTheme="majorHAnsi" w:hAnsiTheme="majorHAnsi" w:cstheme="majorHAnsi"/>
                <w:b/>
                <w:sz w:val="20"/>
                <w:szCs w:val="20"/>
              </w:rPr>
              <w:t>4</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60ABA29E" w14:textId="015A176E" w:rsidR="007B06F0" w:rsidRPr="00412E44" w:rsidRDefault="00742F15" w:rsidP="007B06F0">
            <w:pPr>
              <w:rPr>
                <w:rFonts w:asciiTheme="majorHAnsi" w:hAnsiTheme="majorHAnsi" w:cstheme="majorHAnsi"/>
                <w:b/>
                <w:sz w:val="20"/>
                <w:szCs w:val="20"/>
              </w:rPr>
            </w:pPr>
            <w:r w:rsidRPr="00742F15">
              <w:rPr>
                <w:rFonts w:asciiTheme="majorHAnsi" w:eastAsia="Times New Roman" w:hAnsiTheme="majorHAnsi" w:cstheme="majorHAnsi"/>
                <w:b/>
                <w:bCs/>
                <w:color w:val="000000"/>
                <w:sz w:val="18"/>
                <w:szCs w:val="18"/>
                <w:lang w:val="pt-BR"/>
              </w:rPr>
              <w:t>Inclusion of Patients</w:t>
            </w:r>
          </w:p>
        </w:tc>
        <w:tc>
          <w:tcPr>
            <w:tcW w:w="897" w:type="dxa"/>
            <w:tcBorders>
              <w:top w:val="single" w:sz="4" w:space="0" w:color="000000"/>
              <w:left w:val="nil"/>
              <w:bottom w:val="single" w:sz="4" w:space="0" w:color="000000"/>
              <w:right w:val="nil"/>
            </w:tcBorders>
            <w:shd w:val="clear" w:color="auto" w:fill="auto"/>
            <w:vAlign w:val="bottom"/>
          </w:tcPr>
          <w:p w14:paraId="338A68E2" w14:textId="77777777" w:rsidR="007B06F0" w:rsidRPr="00412E44" w:rsidRDefault="007B06F0" w:rsidP="007B06F0">
            <w:pPr>
              <w:rPr>
                <w:rFonts w:asciiTheme="majorHAnsi" w:hAnsiTheme="majorHAnsi" w:cstheme="majorHAnsi"/>
                <w:sz w:val="20"/>
                <w:szCs w:val="20"/>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5FE665A4" w14:textId="77777777" w:rsidR="007B06F0" w:rsidRPr="00412E44" w:rsidRDefault="007B06F0" w:rsidP="007B06F0">
            <w:pPr>
              <w:rPr>
                <w:rFonts w:asciiTheme="majorHAnsi" w:hAnsiTheme="majorHAnsi" w:cstheme="majorHAnsi"/>
                <w:sz w:val="20"/>
                <w:szCs w:val="20"/>
              </w:rPr>
            </w:pPr>
          </w:p>
        </w:tc>
      </w:tr>
      <w:tr w:rsidR="007B06F0" w:rsidRPr="00412E44" w14:paraId="140AE092" w14:textId="77777777" w:rsidTr="00161B82">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4587BE79" w14:textId="1AE2CBD6" w:rsidR="007B06F0" w:rsidRPr="00412E44" w:rsidRDefault="00742F15" w:rsidP="007B06F0">
            <w:pPr>
              <w:rPr>
                <w:rFonts w:asciiTheme="majorHAnsi" w:hAnsiTheme="majorHAnsi" w:cstheme="majorHAnsi"/>
                <w:b/>
                <w:sz w:val="20"/>
                <w:szCs w:val="20"/>
              </w:rPr>
            </w:pPr>
            <w:r w:rsidRPr="00742F15">
              <w:rPr>
                <w:rFonts w:asciiTheme="majorHAnsi" w:hAnsiTheme="majorHAnsi" w:cstheme="majorHAnsi"/>
                <w:b/>
                <w:sz w:val="20"/>
                <w:szCs w:val="20"/>
                <w:lang w:val="pt-BR"/>
              </w:rPr>
              <w:t xml:space="preserve">Delivery </w:t>
            </w:r>
            <w:r w:rsidR="007B06F0" w:rsidRPr="00412E44">
              <w:rPr>
                <w:rFonts w:asciiTheme="majorHAnsi" w:hAnsiTheme="majorHAnsi" w:cstheme="majorHAnsi"/>
                <w:b/>
                <w:sz w:val="20"/>
                <w:szCs w:val="20"/>
              </w:rPr>
              <w:t>5</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03A30C24" w14:textId="0DF337FC" w:rsidR="007B06F0" w:rsidRPr="00412E44" w:rsidRDefault="00742F15" w:rsidP="007B06F0">
            <w:pPr>
              <w:rPr>
                <w:rFonts w:asciiTheme="majorHAnsi" w:hAnsiTheme="majorHAnsi" w:cstheme="majorHAnsi"/>
                <w:b/>
                <w:sz w:val="20"/>
                <w:szCs w:val="20"/>
              </w:rPr>
            </w:pPr>
            <w:r w:rsidRPr="00742F15">
              <w:rPr>
                <w:rFonts w:asciiTheme="majorHAnsi" w:eastAsia="Times New Roman" w:hAnsiTheme="majorHAnsi" w:cstheme="majorHAnsi"/>
                <w:b/>
                <w:bCs/>
                <w:color w:val="000000"/>
                <w:sz w:val="18"/>
                <w:szCs w:val="18"/>
                <w:lang w:val="pt-BR"/>
              </w:rPr>
              <w:t>Study monitoring</w:t>
            </w:r>
          </w:p>
        </w:tc>
        <w:tc>
          <w:tcPr>
            <w:tcW w:w="897" w:type="dxa"/>
            <w:tcBorders>
              <w:top w:val="single" w:sz="4" w:space="0" w:color="000000"/>
              <w:left w:val="nil"/>
              <w:bottom w:val="single" w:sz="4" w:space="0" w:color="000000"/>
              <w:right w:val="nil"/>
            </w:tcBorders>
            <w:shd w:val="clear" w:color="auto" w:fill="auto"/>
            <w:vAlign w:val="bottom"/>
          </w:tcPr>
          <w:p w14:paraId="21156EF0" w14:textId="77777777" w:rsidR="007B06F0" w:rsidRPr="00412E44" w:rsidRDefault="007B06F0" w:rsidP="007B06F0">
            <w:pPr>
              <w:rPr>
                <w:rFonts w:asciiTheme="majorHAnsi" w:hAnsiTheme="majorHAnsi" w:cstheme="majorHAnsi"/>
                <w:sz w:val="20"/>
                <w:szCs w:val="20"/>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4E4DA6F5" w14:textId="77777777" w:rsidR="007B06F0" w:rsidRPr="00412E44" w:rsidRDefault="007B06F0" w:rsidP="007B06F0">
            <w:pPr>
              <w:rPr>
                <w:rFonts w:asciiTheme="majorHAnsi" w:hAnsiTheme="majorHAnsi" w:cstheme="majorHAnsi"/>
                <w:sz w:val="20"/>
                <w:szCs w:val="20"/>
              </w:rPr>
            </w:pPr>
          </w:p>
        </w:tc>
      </w:tr>
      <w:tr w:rsidR="007B06F0" w:rsidRPr="00412E44" w14:paraId="2FFD8BB2" w14:textId="77777777" w:rsidTr="00161B82">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09B67659" w14:textId="24DF97F8" w:rsidR="007B06F0" w:rsidRPr="00412E44" w:rsidRDefault="00742F15" w:rsidP="007B06F0">
            <w:pPr>
              <w:rPr>
                <w:rFonts w:asciiTheme="majorHAnsi" w:hAnsiTheme="majorHAnsi" w:cstheme="majorHAnsi"/>
                <w:b/>
                <w:sz w:val="20"/>
                <w:szCs w:val="20"/>
              </w:rPr>
            </w:pPr>
            <w:r w:rsidRPr="00742F15">
              <w:rPr>
                <w:rFonts w:asciiTheme="majorHAnsi" w:hAnsiTheme="majorHAnsi" w:cstheme="majorHAnsi"/>
                <w:b/>
                <w:sz w:val="20"/>
                <w:szCs w:val="20"/>
                <w:lang w:val="pt-BR"/>
              </w:rPr>
              <w:t xml:space="preserve">Delivery </w:t>
            </w:r>
            <w:r w:rsidR="007B06F0" w:rsidRPr="00412E44">
              <w:rPr>
                <w:rFonts w:asciiTheme="majorHAnsi" w:hAnsiTheme="majorHAnsi" w:cstheme="majorHAnsi"/>
                <w:b/>
                <w:sz w:val="20"/>
                <w:szCs w:val="20"/>
              </w:rPr>
              <w:t>6</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37E6F406" w14:textId="42B494D6" w:rsidR="007B06F0" w:rsidRPr="00412E44" w:rsidRDefault="00742F15" w:rsidP="007B06F0">
            <w:pPr>
              <w:rPr>
                <w:rFonts w:asciiTheme="majorHAnsi" w:hAnsiTheme="majorHAnsi" w:cstheme="majorHAnsi"/>
                <w:b/>
                <w:sz w:val="20"/>
                <w:szCs w:val="20"/>
              </w:rPr>
            </w:pPr>
            <w:r w:rsidRPr="00742F15">
              <w:rPr>
                <w:rFonts w:asciiTheme="majorHAnsi" w:eastAsia="Times New Roman" w:hAnsiTheme="majorHAnsi" w:cstheme="majorHAnsi"/>
                <w:b/>
                <w:bCs/>
                <w:color w:val="000000"/>
                <w:sz w:val="18"/>
                <w:szCs w:val="18"/>
                <w:lang w:val="pt-BR"/>
              </w:rPr>
              <w:t>Cost-effectiveness study</w:t>
            </w:r>
          </w:p>
        </w:tc>
        <w:tc>
          <w:tcPr>
            <w:tcW w:w="897" w:type="dxa"/>
            <w:tcBorders>
              <w:top w:val="single" w:sz="4" w:space="0" w:color="000000"/>
              <w:left w:val="nil"/>
              <w:bottom w:val="single" w:sz="4" w:space="0" w:color="000000"/>
              <w:right w:val="nil"/>
            </w:tcBorders>
            <w:shd w:val="clear" w:color="auto" w:fill="auto"/>
            <w:vAlign w:val="bottom"/>
          </w:tcPr>
          <w:p w14:paraId="322C4CCB" w14:textId="77777777" w:rsidR="007B06F0" w:rsidRPr="00412E44" w:rsidRDefault="007B06F0" w:rsidP="007B06F0">
            <w:pPr>
              <w:rPr>
                <w:rFonts w:asciiTheme="majorHAnsi" w:hAnsiTheme="majorHAnsi" w:cstheme="majorHAnsi"/>
                <w:sz w:val="20"/>
                <w:szCs w:val="20"/>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688ACD94" w14:textId="77777777" w:rsidR="007B06F0" w:rsidRPr="00412E44" w:rsidRDefault="007B06F0" w:rsidP="007B06F0">
            <w:pPr>
              <w:rPr>
                <w:rFonts w:asciiTheme="majorHAnsi" w:hAnsiTheme="majorHAnsi" w:cstheme="majorHAnsi"/>
                <w:sz w:val="20"/>
                <w:szCs w:val="20"/>
              </w:rPr>
            </w:pPr>
          </w:p>
        </w:tc>
      </w:tr>
      <w:tr w:rsidR="007B06F0" w:rsidRPr="00412E44" w14:paraId="2828CD04" w14:textId="77777777" w:rsidTr="00161B82">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50541731" w14:textId="147ACF2B" w:rsidR="007B06F0" w:rsidRPr="00412E44" w:rsidRDefault="00742F15" w:rsidP="007B06F0">
            <w:pPr>
              <w:rPr>
                <w:rFonts w:asciiTheme="majorHAnsi" w:hAnsiTheme="majorHAnsi" w:cstheme="majorHAnsi"/>
                <w:b/>
                <w:sz w:val="20"/>
                <w:szCs w:val="20"/>
              </w:rPr>
            </w:pPr>
            <w:r w:rsidRPr="00742F15">
              <w:rPr>
                <w:rFonts w:asciiTheme="majorHAnsi" w:hAnsiTheme="majorHAnsi" w:cstheme="majorHAnsi"/>
                <w:b/>
                <w:sz w:val="20"/>
                <w:szCs w:val="20"/>
                <w:lang w:val="pt-BR"/>
              </w:rPr>
              <w:t xml:space="preserve">Delivery </w:t>
            </w:r>
            <w:r w:rsidR="007B06F0" w:rsidRPr="00412E44">
              <w:rPr>
                <w:rFonts w:asciiTheme="majorHAnsi" w:hAnsiTheme="majorHAnsi" w:cstheme="majorHAnsi"/>
                <w:b/>
                <w:sz w:val="20"/>
                <w:szCs w:val="20"/>
              </w:rPr>
              <w:t>7</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450A878B" w14:textId="1EEC3C4F" w:rsidR="007B06F0" w:rsidRPr="00412E44" w:rsidRDefault="00742F15" w:rsidP="007B06F0">
            <w:pPr>
              <w:spacing w:line="276" w:lineRule="auto"/>
              <w:rPr>
                <w:rFonts w:asciiTheme="majorHAnsi" w:hAnsiTheme="majorHAnsi" w:cstheme="majorHAnsi"/>
                <w:b/>
                <w:sz w:val="20"/>
                <w:szCs w:val="20"/>
              </w:rPr>
            </w:pPr>
            <w:r w:rsidRPr="00742F15">
              <w:rPr>
                <w:rFonts w:asciiTheme="majorHAnsi" w:eastAsia="Times New Roman" w:hAnsiTheme="majorHAnsi" w:cstheme="majorHAnsi"/>
                <w:b/>
                <w:bCs/>
                <w:color w:val="000000"/>
                <w:sz w:val="18"/>
                <w:szCs w:val="18"/>
                <w:lang w:val="pt-BR"/>
              </w:rPr>
              <w:t>Data analysis</w:t>
            </w:r>
          </w:p>
        </w:tc>
        <w:tc>
          <w:tcPr>
            <w:tcW w:w="897" w:type="dxa"/>
            <w:tcBorders>
              <w:top w:val="single" w:sz="4" w:space="0" w:color="000000"/>
              <w:left w:val="nil"/>
              <w:bottom w:val="single" w:sz="4" w:space="0" w:color="000000"/>
              <w:right w:val="nil"/>
            </w:tcBorders>
            <w:shd w:val="clear" w:color="auto" w:fill="auto"/>
            <w:vAlign w:val="bottom"/>
          </w:tcPr>
          <w:p w14:paraId="3FFECA0B" w14:textId="77777777" w:rsidR="007B06F0" w:rsidRPr="00412E44" w:rsidRDefault="007B06F0" w:rsidP="007B06F0">
            <w:pPr>
              <w:rPr>
                <w:rFonts w:asciiTheme="majorHAnsi" w:hAnsiTheme="majorHAnsi" w:cstheme="majorHAnsi"/>
                <w:sz w:val="20"/>
                <w:szCs w:val="20"/>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2C99ED13" w14:textId="77777777" w:rsidR="007B06F0" w:rsidRPr="00412E44" w:rsidRDefault="007B06F0" w:rsidP="007B06F0">
            <w:pPr>
              <w:rPr>
                <w:rFonts w:asciiTheme="majorHAnsi" w:hAnsiTheme="majorHAnsi" w:cstheme="majorHAnsi"/>
                <w:sz w:val="20"/>
                <w:szCs w:val="20"/>
              </w:rPr>
            </w:pPr>
          </w:p>
        </w:tc>
      </w:tr>
      <w:tr w:rsidR="007B06F0" w:rsidRPr="00412E44" w14:paraId="60EC95A9" w14:textId="77777777" w:rsidTr="00161B82">
        <w:trPr>
          <w:trHeight w:val="240"/>
        </w:trPr>
        <w:tc>
          <w:tcPr>
            <w:tcW w:w="2046" w:type="dxa"/>
            <w:tcBorders>
              <w:top w:val="single" w:sz="4" w:space="0" w:color="000000"/>
              <w:left w:val="single" w:sz="4" w:space="0" w:color="000000"/>
              <w:bottom w:val="single" w:sz="4" w:space="0" w:color="000000"/>
              <w:right w:val="single" w:sz="4" w:space="0" w:color="000000"/>
            </w:tcBorders>
            <w:shd w:val="clear" w:color="auto" w:fill="auto"/>
          </w:tcPr>
          <w:p w14:paraId="3C37F7B2" w14:textId="7960A1A3" w:rsidR="007B06F0" w:rsidRPr="00412E44" w:rsidRDefault="00742F15" w:rsidP="007B06F0">
            <w:pPr>
              <w:rPr>
                <w:rFonts w:asciiTheme="majorHAnsi" w:hAnsiTheme="majorHAnsi" w:cstheme="majorHAnsi"/>
                <w:b/>
                <w:sz w:val="20"/>
                <w:szCs w:val="20"/>
              </w:rPr>
            </w:pPr>
            <w:r w:rsidRPr="00742F15">
              <w:rPr>
                <w:rFonts w:asciiTheme="majorHAnsi" w:hAnsiTheme="majorHAnsi" w:cstheme="majorHAnsi"/>
                <w:b/>
                <w:sz w:val="20"/>
                <w:szCs w:val="20"/>
                <w:lang w:val="pt-BR"/>
              </w:rPr>
              <w:t xml:space="preserve">Delivery </w:t>
            </w:r>
            <w:r w:rsidR="007B06F0" w:rsidRPr="00412E44">
              <w:rPr>
                <w:rFonts w:asciiTheme="majorHAnsi" w:hAnsiTheme="majorHAnsi" w:cstheme="majorHAnsi"/>
                <w:b/>
                <w:sz w:val="20"/>
                <w:szCs w:val="20"/>
              </w:rPr>
              <w:t>8</w:t>
            </w:r>
          </w:p>
        </w:tc>
        <w:tc>
          <w:tcPr>
            <w:tcW w:w="6197" w:type="dxa"/>
            <w:tcBorders>
              <w:top w:val="single" w:sz="4" w:space="0" w:color="000000"/>
              <w:left w:val="single" w:sz="4" w:space="0" w:color="000000"/>
              <w:bottom w:val="single" w:sz="4" w:space="0" w:color="000000"/>
              <w:right w:val="nil"/>
            </w:tcBorders>
            <w:shd w:val="clear" w:color="auto" w:fill="auto"/>
            <w:vAlign w:val="bottom"/>
          </w:tcPr>
          <w:p w14:paraId="4A264566" w14:textId="2FFB7131" w:rsidR="007B06F0" w:rsidRPr="00412E44" w:rsidRDefault="00742F15" w:rsidP="00742F15">
            <w:pPr>
              <w:rPr>
                <w:rFonts w:asciiTheme="majorHAnsi" w:hAnsiTheme="majorHAnsi" w:cstheme="majorHAnsi"/>
                <w:b/>
                <w:sz w:val="20"/>
                <w:szCs w:val="20"/>
              </w:rPr>
            </w:pPr>
            <w:r w:rsidRPr="00742F15">
              <w:rPr>
                <w:rFonts w:asciiTheme="majorHAnsi" w:eastAsia="Times New Roman" w:hAnsiTheme="majorHAnsi" w:cstheme="majorHAnsi"/>
                <w:b/>
                <w:bCs/>
                <w:color w:val="000000"/>
                <w:sz w:val="18"/>
                <w:szCs w:val="18"/>
                <w:lang w:val="pt-BR"/>
              </w:rPr>
              <w:t>Publication of results</w:t>
            </w:r>
          </w:p>
        </w:tc>
        <w:tc>
          <w:tcPr>
            <w:tcW w:w="897" w:type="dxa"/>
            <w:tcBorders>
              <w:top w:val="single" w:sz="4" w:space="0" w:color="000000"/>
              <w:left w:val="nil"/>
              <w:bottom w:val="single" w:sz="4" w:space="0" w:color="000000"/>
              <w:right w:val="nil"/>
            </w:tcBorders>
            <w:shd w:val="clear" w:color="auto" w:fill="auto"/>
            <w:vAlign w:val="bottom"/>
          </w:tcPr>
          <w:p w14:paraId="39413CD0" w14:textId="77777777" w:rsidR="007B06F0" w:rsidRPr="00412E44" w:rsidRDefault="007B06F0" w:rsidP="007B06F0">
            <w:pPr>
              <w:rPr>
                <w:rFonts w:asciiTheme="majorHAnsi" w:hAnsiTheme="majorHAnsi" w:cstheme="majorHAnsi"/>
                <w:sz w:val="20"/>
                <w:szCs w:val="20"/>
              </w:rPr>
            </w:pPr>
          </w:p>
        </w:tc>
        <w:tc>
          <w:tcPr>
            <w:tcW w:w="220" w:type="dxa"/>
            <w:tcBorders>
              <w:top w:val="single" w:sz="4" w:space="0" w:color="000000"/>
              <w:left w:val="nil"/>
              <w:bottom w:val="single" w:sz="4" w:space="0" w:color="000000"/>
              <w:right w:val="single" w:sz="4" w:space="0" w:color="000000"/>
            </w:tcBorders>
            <w:shd w:val="clear" w:color="auto" w:fill="auto"/>
            <w:vAlign w:val="bottom"/>
          </w:tcPr>
          <w:p w14:paraId="16C6BA7A" w14:textId="77777777" w:rsidR="007B06F0" w:rsidRPr="00412E44" w:rsidRDefault="007B06F0" w:rsidP="007B06F0">
            <w:pPr>
              <w:rPr>
                <w:rFonts w:asciiTheme="majorHAnsi" w:hAnsiTheme="majorHAnsi" w:cstheme="majorHAnsi"/>
                <w:sz w:val="20"/>
                <w:szCs w:val="20"/>
              </w:rPr>
            </w:pPr>
          </w:p>
        </w:tc>
      </w:tr>
    </w:tbl>
    <w:p w14:paraId="0D0608EB" w14:textId="28727859" w:rsidR="007B06F0" w:rsidRPr="00412E44" w:rsidRDefault="007B06F0">
      <w:pPr>
        <w:spacing w:after="160" w:line="360" w:lineRule="auto"/>
        <w:ind w:left="360" w:hanging="720"/>
        <w:jc w:val="both"/>
        <w:rPr>
          <w:rFonts w:asciiTheme="majorHAnsi" w:hAnsiTheme="majorHAnsi" w:cstheme="majorHAnsi"/>
          <w:b/>
          <w:sz w:val="18"/>
          <w:szCs w:val="18"/>
          <w:highlight w:val="yellow"/>
          <w:u w:val="single"/>
        </w:rPr>
      </w:pPr>
    </w:p>
    <w:p w14:paraId="7C02CAAA" w14:textId="77777777" w:rsidR="007B3463" w:rsidRPr="00412E44" w:rsidRDefault="007B3463">
      <w:pPr>
        <w:spacing w:after="160" w:line="360" w:lineRule="auto"/>
        <w:ind w:left="360" w:hanging="720"/>
        <w:jc w:val="both"/>
        <w:rPr>
          <w:rFonts w:asciiTheme="majorHAnsi" w:hAnsiTheme="majorHAnsi" w:cstheme="majorHAnsi"/>
          <w:b/>
          <w:sz w:val="18"/>
          <w:szCs w:val="18"/>
          <w:highlight w:val="yellow"/>
          <w:u w:val="single"/>
        </w:rPr>
      </w:pPr>
    </w:p>
    <w:tbl>
      <w:tblPr>
        <w:tblStyle w:val="3"/>
        <w:tblW w:w="9360" w:type="dxa"/>
        <w:tblInd w:w="0" w:type="dxa"/>
        <w:tblLayout w:type="fixed"/>
        <w:tblLook w:val="0400" w:firstRow="0" w:lastRow="0" w:firstColumn="0" w:lastColumn="0" w:noHBand="0" w:noVBand="1"/>
      </w:tblPr>
      <w:tblGrid>
        <w:gridCol w:w="9360"/>
      </w:tblGrid>
      <w:tr w:rsidR="00A636C3" w:rsidRPr="00412E44" w14:paraId="243CC1DA" w14:textId="77777777">
        <w:trPr>
          <w:trHeight w:val="240"/>
        </w:trPr>
        <w:tc>
          <w:tcPr>
            <w:tcW w:w="9360" w:type="dxa"/>
            <w:tcBorders>
              <w:top w:val="nil"/>
              <w:left w:val="nil"/>
              <w:bottom w:val="nil"/>
              <w:right w:val="nil"/>
            </w:tcBorders>
            <w:shd w:val="clear" w:color="auto" w:fill="31869B"/>
            <w:vAlign w:val="center"/>
          </w:tcPr>
          <w:p w14:paraId="504939D7" w14:textId="74F5D869" w:rsidR="00A636C3" w:rsidRPr="00412E44" w:rsidRDefault="00627E27" w:rsidP="00627E27">
            <w:pPr>
              <w:ind w:left="-531" w:firstLine="531"/>
              <w:jc w:val="center"/>
              <w:rPr>
                <w:rFonts w:asciiTheme="majorHAnsi" w:hAnsiTheme="majorHAnsi" w:cstheme="majorHAnsi"/>
                <w:b/>
                <w:color w:val="FFFFFF"/>
              </w:rPr>
            </w:pPr>
            <w:r w:rsidRPr="00627E27">
              <w:rPr>
                <w:rFonts w:asciiTheme="majorHAnsi" w:hAnsiTheme="majorHAnsi" w:cstheme="majorHAnsi"/>
                <w:b/>
                <w:color w:val="FFFFFF"/>
              </w:rPr>
              <w:t>Identification of Landmarks</w:t>
            </w:r>
          </w:p>
        </w:tc>
      </w:tr>
    </w:tbl>
    <w:tbl>
      <w:tblPr>
        <w:tblW w:w="9356" w:type="dxa"/>
        <w:tblLayout w:type="fixed"/>
        <w:tblLook w:val="0400" w:firstRow="0" w:lastRow="0" w:firstColumn="0" w:lastColumn="0" w:noHBand="0" w:noVBand="1"/>
      </w:tblPr>
      <w:tblGrid>
        <w:gridCol w:w="1087"/>
        <w:gridCol w:w="8269"/>
      </w:tblGrid>
      <w:tr w:rsidR="004474EF" w:rsidRPr="006C75EC" w14:paraId="68DBB862" w14:textId="77777777" w:rsidTr="00E1378B">
        <w:trPr>
          <w:gridAfter w:val="1"/>
          <w:wAfter w:w="8269" w:type="dxa"/>
          <w:trHeight w:val="301"/>
        </w:trPr>
        <w:tc>
          <w:tcPr>
            <w:tcW w:w="1087" w:type="dxa"/>
            <w:tcBorders>
              <w:top w:val="nil"/>
              <w:left w:val="nil"/>
              <w:bottom w:val="nil"/>
              <w:right w:val="nil"/>
            </w:tcBorders>
            <w:shd w:val="clear" w:color="auto" w:fill="auto"/>
            <w:vAlign w:val="bottom"/>
          </w:tcPr>
          <w:p w14:paraId="314BC2B7" w14:textId="77777777" w:rsidR="006C75EC" w:rsidRDefault="006C75EC" w:rsidP="00456C76">
            <w:pPr>
              <w:jc w:val="center"/>
              <w:rPr>
                <w:rFonts w:asciiTheme="majorHAnsi" w:hAnsiTheme="majorHAnsi" w:cstheme="majorHAnsi"/>
                <w:b/>
                <w:sz w:val="20"/>
                <w:szCs w:val="20"/>
              </w:rPr>
            </w:pPr>
          </w:p>
          <w:p w14:paraId="2A826EA7" w14:textId="3508E526" w:rsidR="004474EF" w:rsidRPr="00882BFE" w:rsidRDefault="004474EF" w:rsidP="00456C76">
            <w:pPr>
              <w:jc w:val="center"/>
              <w:rPr>
                <w:rFonts w:asciiTheme="majorHAnsi" w:hAnsiTheme="majorHAnsi" w:cstheme="majorHAnsi"/>
                <w:b/>
                <w:sz w:val="20"/>
                <w:szCs w:val="20"/>
              </w:rPr>
            </w:pPr>
            <w:r w:rsidRPr="00882BFE">
              <w:rPr>
                <w:rFonts w:asciiTheme="majorHAnsi" w:hAnsiTheme="majorHAnsi" w:cstheme="majorHAnsi"/>
                <w:b/>
                <w:sz w:val="20"/>
                <w:szCs w:val="20"/>
              </w:rPr>
              <w:t>Marco</w:t>
            </w:r>
          </w:p>
        </w:tc>
      </w:tr>
      <w:tr w:rsidR="00627E27" w:rsidRPr="00627E27" w14:paraId="595E0AA0" w14:textId="77777777" w:rsidTr="006020C2">
        <w:trPr>
          <w:trHeight w:val="225"/>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03D7EE3" w14:textId="77777777" w:rsidR="00627E27" w:rsidRPr="00882BFE" w:rsidRDefault="00627E27" w:rsidP="00627E27">
            <w:pPr>
              <w:jc w:val="center"/>
              <w:rPr>
                <w:rFonts w:asciiTheme="majorHAnsi" w:hAnsiTheme="majorHAnsi" w:cstheme="majorHAnsi"/>
                <w:sz w:val="20"/>
                <w:szCs w:val="20"/>
              </w:rPr>
            </w:pPr>
            <w:r w:rsidRPr="00882BFE">
              <w:rPr>
                <w:rFonts w:asciiTheme="majorHAnsi" w:hAnsiTheme="majorHAnsi" w:cstheme="majorHAnsi"/>
                <w:sz w:val="20"/>
                <w:szCs w:val="20"/>
              </w:rPr>
              <w:t>M.1</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6239AAE5" w14:textId="5E5A1B61" w:rsidR="00627E27" w:rsidRPr="00627E27" w:rsidRDefault="00627E27" w:rsidP="00627E27">
            <w:pPr>
              <w:jc w:val="both"/>
              <w:rPr>
                <w:rFonts w:asciiTheme="majorHAnsi" w:hAnsiTheme="majorHAnsi" w:cstheme="majorHAnsi"/>
                <w:sz w:val="20"/>
                <w:szCs w:val="20"/>
                <w:lang w:val="en-US"/>
              </w:rPr>
            </w:pPr>
            <w:r w:rsidRPr="007D4900">
              <w:t>Agreement with all hospitals – Delivery related 2. Contract drafts validated and signed by all participating centers and HSL</w:t>
            </w:r>
          </w:p>
        </w:tc>
      </w:tr>
      <w:tr w:rsidR="00627E27" w:rsidRPr="00627E27" w14:paraId="4A88DCD9" w14:textId="77777777" w:rsidTr="006020C2">
        <w:trPr>
          <w:trHeight w:val="225"/>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7CA8A80" w14:textId="77777777" w:rsidR="00627E27" w:rsidRPr="00882BFE" w:rsidRDefault="00627E27" w:rsidP="00627E27">
            <w:pPr>
              <w:jc w:val="center"/>
              <w:rPr>
                <w:rFonts w:asciiTheme="majorHAnsi" w:hAnsiTheme="majorHAnsi" w:cstheme="majorHAnsi"/>
                <w:sz w:val="20"/>
                <w:szCs w:val="20"/>
              </w:rPr>
            </w:pPr>
            <w:r w:rsidRPr="00882BFE">
              <w:rPr>
                <w:rFonts w:asciiTheme="majorHAnsi" w:hAnsiTheme="majorHAnsi" w:cstheme="majorHAnsi"/>
                <w:sz w:val="20"/>
                <w:szCs w:val="20"/>
              </w:rPr>
              <w:t>M.2</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002FF2F9" w14:textId="4754190E" w:rsidR="00627E27" w:rsidRPr="00627E27" w:rsidRDefault="00627E27" w:rsidP="00627E27">
            <w:pPr>
              <w:jc w:val="both"/>
              <w:rPr>
                <w:rFonts w:asciiTheme="majorHAnsi" w:hAnsiTheme="majorHAnsi" w:cstheme="majorHAnsi"/>
                <w:sz w:val="20"/>
                <w:szCs w:val="20"/>
                <w:lang w:val="en-US"/>
              </w:rPr>
            </w:pPr>
            <w:r w:rsidRPr="007D4900">
              <w:t>Ethics Committee Approval – Delivery Related 2. Receipt of approval from the local ethics committee of all participating centers. Completion of this delivery is essential for compliance with Clinical Research legislation and initiating recruitment.</w:t>
            </w:r>
          </w:p>
        </w:tc>
      </w:tr>
      <w:tr w:rsidR="00627E27" w:rsidRPr="00627E27" w14:paraId="26EA1249" w14:textId="77777777" w:rsidTr="006020C2">
        <w:trPr>
          <w:trHeight w:val="281"/>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F8D58FB" w14:textId="77777777" w:rsidR="00627E27" w:rsidRPr="00882BFE" w:rsidRDefault="00627E27" w:rsidP="00627E27">
            <w:pPr>
              <w:jc w:val="center"/>
              <w:rPr>
                <w:rFonts w:asciiTheme="majorHAnsi" w:hAnsiTheme="majorHAnsi" w:cstheme="majorHAnsi"/>
                <w:sz w:val="20"/>
                <w:szCs w:val="20"/>
              </w:rPr>
            </w:pPr>
            <w:r w:rsidRPr="00882BFE">
              <w:rPr>
                <w:rFonts w:asciiTheme="majorHAnsi" w:hAnsiTheme="majorHAnsi" w:cstheme="majorHAnsi"/>
                <w:sz w:val="20"/>
                <w:szCs w:val="20"/>
              </w:rPr>
              <w:t>M.3</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6C9B8FD7" w14:textId="6520EB1D" w:rsidR="00627E27" w:rsidRPr="00627E27" w:rsidRDefault="00627E27" w:rsidP="00627E27">
            <w:pPr>
              <w:jc w:val="both"/>
              <w:rPr>
                <w:rFonts w:asciiTheme="majorHAnsi" w:hAnsiTheme="majorHAnsi" w:cstheme="majorHAnsi"/>
                <w:sz w:val="20"/>
                <w:szCs w:val="20"/>
                <w:lang w:val="en-US"/>
              </w:rPr>
            </w:pPr>
            <w:r w:rsidRPr="007D4900">
              <w:t>Enrolled Patients – Delivery Related 5. This milestone refers to patients enrolled in the study. A statistical calculation was performed that demonstrates the sample size necessary for the results of this study to have statistical power and can be extrapolated to the population. This milestone will be reached when this sample size is reached. The sample size and its calculation are described in detail in the methodology.</w:t>
            </w:r>
          </w:p>
        </w:tc>
      </w:tr>
      <w:tr w:rsidR="00627E27" w:rsidRPr="00627E27" w14:paraId="11689250" w14:textId="77777777" w:rsidTr="006020C2">
        <w:trPr>
          <w:trHeight w:val="225"/>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CCC32A3" w14:textId="77777777" w:rsidR="00627E27" w:rsidRPr="00882BFE" w:rsidRDefault="00627E27" w:rsidP="00627E27">
            <w:pPr>
              <w:jc w:val="center"/>
              <w:rPr>
                <w:rFonts w:asciiTheme="majorHAnsi" w:hAnsiTheme="majorHAnsi" w:cstheme="majorHAnsi"/>
                <w:sz w:val="20"/>
                <w:szCs w:val="20"/>
              </w:rPr>
            </w:pPr>
            <w:r w:rsidRPr="00882BFE">
              <w:rPr>
                <w:rFonts w:asciiTheme="majorHAnsi" w:hAnsiTheme="majorHAnsi" w:cstheme="majorHAnsi"/>
                <w:sz w:val="20"/>
                <w:szCs w:val="20"/>
              </w:rPr>
              <w:t>M.4</w:t>
            </w:r>
          </w:p>
        </w:tc>
        <w:tc>
          <w:tcPr>
            <w:tcW w:w="8269" w:type="dxa"/>
            <w:tcBorders>
              <w:top w:val="single" w:sz="4" w:space="0" w:color="auto"/>
              <w:left w:val="single" w:sz="4" w:space="0" w:color="auto"/>
              <w:bottom w:val="single" w:sz="4" w:space="0" w:color="auto"/>
              <w:right w:val="single" w:sz="4" w:space="0" w:color="auto"/>
            </w:tcBorders>
            <w:shd w:val="clear" w:color="auto" w:fill="auto"/>
          </w:tcPr>
          <w:p w14:paraId="40BF994A" w14:textId="0A768966" w:rsidR="00627E27" w:rsidRPr="00627E27" w:rsidRDefault="00627E27" w:rsidP="00627E27">
            <w:pPr>
              <w:jc w:val="both"/>
              <w:rPr>
                <w:rFonts w:asciiTheme="majorHAnsi" w:hAnsiTheme="majorHAnsi" w:cstheme="majorHAnsi"/>
                <w:sz w:val="20"/>
                <w:szCs w:val="20"/>
                <w:lang w:val="en-US"/>
              </w:rPr>
            </w:pPr>
            <w:r w:rsidRPr="007D4900">
              <w:t>Final data analyzed and published – Delivery related 6. The scientific publication of the study and its last milestone, closing the last activity and delivery agreed in the present plan. Scientific publication is the most effective way of communicating the results of a research project.</w:t>
            </w:r>
          </w:p>
        </w:tc>
      </w:tr>
    </w:tbl>
    <w:p w14:paraId="14288A8F" w14:textId="77777777" w:rsidR="001C0657" w:rsidRPr="00627E27" w:rsidRDefault="001C0657" w:rsidP="00161B82">
      <w:pPr>
        <w:shd w:val="clear" w:color="auto" w:fill="FFFFFF" w:themeFill="background1"/>
        <w:spacing w:line="360" w:lineRule="auto"/>
        <w:jc w:val="both"/>
        <w:rPr>
          <w:rFonts w:asciiTheme="majorHAnsi" w:hAnsiTheme="majorHAnsi" w:cstheme="majorHAnsi"/>
          <w:b/>
          <w:sz w:val="18"/>
          <w:szCs w:val="18"/>
          <w:u w:val="single"/>
          <w:lang w:val="en-US"/>
        </w:rPr>
      </w:pPr>
    </w:p>
    <w:p w14:paraId="20587F5A" w14:textId="64ABD698" w:rsidR="00627E27" w:rsidRPr="00627E27" w:rsidRDefault="00DA6D78" w:rsidP="00514363">
      <w:pPr>
        <w:numPr>
          <w:ilvl w:val="0"/>
          <w:numId w:val="12"/>
        </w:numPr>
        <w:spacing w:after="160" w:line="360" w:lineRule="auto"/>
        <w:jc w:val="both"/>
        <w:rPr>
          <w:rFonts w:asciiTheme="majorHAnsi" w:hAnsiTheme="majorHAnsi" w:cstheme="majorHAnsi"/>
          <w:b/>
          <w:lang w:val="pt-BR"/>
        </w:rPr>
      </w:pPr>
      <w:r w:rsidRPr="00627E27">
        <w:rPr>
          <w:rFonts w:asciiTheme="majorHAnsi" w:hAnsiTheme="majorHAnsi" w:cstheme="majorHAnsi"/>
          <w:b/>
          <w:lang w:val="pt-BR"/>
        </w:rPr>
        <w:t xml:space="preserve">        </w:t>
      </w:r>
      <w:r w:rsidR="00627E27" w:rsidRPr="00627E27">
        <w:rPr>
          <w:rFonts w:asciiTheme="majorHAnsi" w:hAnsiTheme="majorHAnsi" w:cstheme="majorHAnsi"/>
          <w:b/>
          <w:lang w:val="pt-BR"/>
        </w:rPr>
        <w:t>ANNUAL RESULTS EVALUATION EVENTS</w:t>
      </w:r>
    </w:p>
    <w:p w14:paraId="3881BDEF" w14:textId="30206F69" w:rsidR="007E3251" w:rsidRDefault="00627E27" w:rsidP="00627E27">
      <w:pPr>
        <w:spacing w:line="360" w:lineRule="auto"/>
        <w:ind w:firstLine="720"/>
        <w:jc w:val="both"/>
        <w:rPr>
          <w:rFonts w:asciiTheme="majorHAnsi" w:hAnsiTheme="majorHAnsi" w:cstheme="majorHAnsi"/>
          <w:lang w:val="en-US"/>
        </w:rPr>
      </w:pPr>
      <w:r w:rsidRPr="00627E27">
        <w:rPr>
          <w:rFonts w:asciiTheme="majorHAnsi" w:hAnsiTheme="majorHAnsi" w:cstheme="majorHAnsi"/>
          <w:lang w:val="en-US"/>
        </w:rPr>
        <w:t>Working meeting with the Ministry of Health, in December 2020, to monitor the project and evaluate what was carried out within the triennium, considering that the research results will be possible to be presented after two years of patient follow-up.</w:t>
      </w:r>
    </w:p>
    <w:p w14:paraId="675EE802" w14:textId="77777777" w:rsidR="00627E27" w:rsidRPr="00627E27" w:rsidRDefault="00627E27" w:rsidP="00161B82">
      <w:pPr>
        <w:spacing w:line="360" w:lineRule="auto"/>
        <w:jc w:val="both"/>
        <w:rPr>
          <w:rFonts w:asciiTheme="majorHAnsi" w:hAnsiTheme="majorHAnsi" w:cstheme="majorHAnsi"/>
          <w:b/>
          <w:sz w:val="18"/>
          <w:szCs w:val="18"/>
          <w:u w:val="single"/>
          <w:lang w:val="en-US"/>
        </w:rPr>
      </w:pPr>
    </w:p>
    <w:p w14:paraId="07C379A6" w14:textId="69FF4DFA" w:rsidR="00A22ABE" w:rsidRPr="00627E27" w:rsidRDefault="00627E27" w:rsidP="007F304B">
      <w:pPr>
        <w:numPr>
          <w:ilvl w:val="0"/>
          <w:numId w:val="12"/>
        </w:numPr>
        <w:spacing w:after="160" w:line="360" w:lineRule="auto"/>
        <w:jc w:val="both"/>
        <w:rPr>
          <w:rFonts w:asciiTheme="majorHAnsi" w:hAnsiTheme="majorHAnsi" w:cstheme="majorHAnsi"/>
          <w:b/>
          <w:sz w:val="14"/>
          <w:lang w:val="pt-BR"/>
        </w:rPr>
      </w:pPr>
      <w:r w:rsidRPr="00627E27">
        <w:rPr>
          <w:rFonts w:asciiTheme="majorHAnsi" w:hAnsiTheme="majorHAnsi" w:cstheme="majorHAnsi"/>
          <w:b/>
          <w:lang w:val="pt-BR"/>
        </w:rPr>
        <w:t xml:space="preserve"> SAW RISK MANAGEMENT PLAN</w:t>
      </w:r>
    </w:p>
    <w:p w14:paraId="6C1E6710" w14:textId="77777777" w:rsidR="00627E27" w:rsidRPr="00627E27" w:rsidRDefault="00627E27" w:rsidP="00627E27">
      <w:pPr>
        <w:spacing w:after="160" w:line="360" w:lineRule="auto"/>
        <w:ind w:firstLine="720"/>
        <w:jc w:val="both"/>
        <w:rPr>
          <w:rFonts w:asciiTheme="majorHAnsi" w:hAnsiTheme="majorHAnsi" w:cstheme="majorHAnsi"/>
          <w:lang w:val="pt-BR"/>
        </w:rPr>
      </w:pPr>
      <w:r w:rsidRPr="00627E27">
        <w:rPr>
          <w:rFonts w:asciiTheme="majorHAnsi" w:hAnsiTheme="majorHAnsi" w:cstheme="majorHAnsi"/>
          <w:lang w:val="en-US"/>
        </w:rPr>
        <w:lastRenderedPageBreak/>
        <w:t xml:space="preserve">Table 1 presents the mapping and description of project risks, intervention proposals to minimize them and the expected response to these interventions. </w:t>
      </w:r>
      <w:r w:rsidRPr="00627E27">
        <w:rPr>
          <w:rFonts w:asciiTheme="majorHAnsi" w:hAnsiTheme="majorHAnsi" w:cstheme="majorHAnsi"/>
          <w:lang w:val="pt-BR"/>
        </w:rPr>
        <w:t>Also consider the following possible risk mitigation points:</w:t>
      </w:r>
    </w:p>
    <w:p w14:paraId="6564CA0B" w14:textId="77777777" w:rsidR="00627E27" w:rsidRPr="00627E27" w:rsidRDefault="00627E27" w:rsidP="00627E27">
      <w:pPr>
        <w:pStyle w:val="ListParagraph"/>
        <w:spacing w:after="160" w:line="360" w:lineRule="auto"/>
        <w:ind w:left="810"/>
        <w:jc w:val="both"/>
        <w:rPr>
          <w:rFonts w:asciiTheme="majorHAnsi" w:hAnsiTheme="majorHAnsi" w:cstheme="majorHAnsi"/>
          <w:lang w:val="en-US"/>
        </w:rPr>
      </w:pPr>
      <w:r w:rsidRPr="00627E27">
        <w:rPr>
          <w:rFonts w:asciiTheme="majorHAnsi" w:hAnsiTheme="majorHAnsi" w:cstheme="majorHAnsi"/>
          <w:lang w:val="en-US"/>
        </w:rPr>
        <w:t>1. If the patient is still hospitalized 1 month after D1 – visit the hospital.</w:t>
      </w:r>
    </w:p>
    <w:p w14:paraId="2934FDEA" w14:textId="77777777" w:rsidR="00627E27" w:rsidRDefault="00627E27" w:rsidP="00627E27">
      <w:pPr>
        <w:pStyle w:val="ListParagraph"/>
        <w:spacing w:after="160" w:line="360" w:lineRule="auto"/>
        <w:ind w:left="810"/>
        <w:jc w:val="both"/>
        <w:rPr>
          <w:rFonts w:asciiTheme="majorHAnsi" w:hAnsiTheme="majorHAnsi" w:cstheme="majorHAnsi"/>
          <w:lang w:val="en-US"/>
        </w:rPr>
      </w:pPr>
      <w:r w:rsidRPr="00627E27">
        <w:rPr>
          <w:rFonts w:asciiTheme="majorHAnsi" w:hAnsiTheme="majorHAnsi" w:cstheme="majorHAnsi"/>
          <w:lang w:val="en-US"/>
        </w:rPr>
        <w:t>2. If the patient is discharged up to ± 10 before completing 1 month of D1 – perform the “1 month” assessment before the patient is discharged (to avoid missing this first month of follow-up)</w:t>
      </w:r>
      <w:proofErr w:type="spellStart"/>
      <w:r w:rsidR="007E3251" w:rsidRPr="00627E27">
        <w:rPr>
          <w:rFonts w:asciiTheme="majorHAnsi" w:hAnsiTheme="majorHAnsi" w:cstheme="majorHAnsi"/>
          <w:lang w:val="en-US"/>
        </w:rPr>
        <w:t>Contato</w:t>
      </w:r>
      <w:proofErr w:type="spellEnd"/>
      <w:r w:rsidR="007E3251" w:rsidRPr="00627E27">
        <w:rPr>
          <w:rFonts w:asciiTheme="majorHAnsi" w:hAnsiTheme="majorHAnsi" w:cstheme="majorHAnsi"/>
          <w:lang w:val="en-US"/>
        </w:rPr>
        <w:t xml:space="preserve"> do </w:t>
      </w:r>
      <w:proofErr w:type="spellStart"/>
      <w:r w:rsidR="007E3251" w:rsidRPr="00627E27">
        <w:rPr>
          <w:rFonts w:asciiTheme="majorHAnsi" w:hAnsiTheme="majorHAnsi" w:cstheme="majorHAnsi"/>
          <w:lang w:val="en-US"/>
        </w:rPr>
        <w:t>paciente</w:t>
      </w:r>
      <w:proofErr w:type="spellEnd"/>
      <w:r w:rsidR="007E3251" w:rsidRPr="00627E27">
        <w:rPr>
          <w:rFonts w:asciiTheme="majorHAnsi" w:hAnsiTheme="majorHAnsi" w:cstheme="majorHAnsi"/>
          <w:lang w:val="en-US"/>
        </w:rPr>
        <w:t xml:space="preserve">: para </w:t>
      </w:r>
      <w:proofErr w:type="spellStart"/>
      <w:r w:rsidR="007E3251" w:rsidRPr="00627E27">
        <w:rPr>
          <w:rFonts w:asciiTheme="majorHAnsi" w:hAnsiTheme="majorHAnsi" w:cstheme="majorHAnsi"/>
          <w:lang w:val="en-US"/>
        </w:rPr>
        <w:t>evitar</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perda</w:t>
      </w:r>
      <w:proofErr w:type="spellEnd"/>
      <w:r w:rsidR="007E3251" w:rsidRPr="00627E27">
        <w:rPr>
          <w:rFonts w:asciiTheme="majorHAnsi" w:hAnsiTheme="majorHAnsi" w:cstheme="majorHAnsi"/>
          <w:lang w:val="en-US"/>
        </w:rPr>
        <w:t xml:space="preserve"> no </w:t>
      </w:r>
      <w:proofErr w:type="spellStart"/>
      <w:r w:rsidR="007E3251" w:rsidRPr="00627E27">
        <w:rPr>
          <w:rFonts w:asciiTheme="majorHAnsi" w:hAnsiTheme="majorHAnsi" w:cstheme="majorHAnsi"/>
          <w:lang w:val="en-US"/>
        </w:rPr>
        <w:t>seguimento</w:t>
      </w:r>
      <w:proofErr w:type="spellEnd"/>
      <w:r w:rsidR="007E3251" w:rsidRPr="00627E27">
        <w:rPr>
          <w:rFonts w:asciiTheme="majorHAnsi" w:hAnsiTheme="majorHAnsi" w:cstheme="majorHAnsi"/>
          <w:lang w:val="en-US"/>
        </w:rPr>
        <w:t xml:space="preserve"> o </w:t>
      </w:r>
      <w:proofErr w:type="spellStart"/>
      <w:r w:rsidR="007E3251" w:rsidRPr="00627E27">
        <w:rPr>
          <w:rFonts w:asciiTheme="majorHAnsi" w:hAnsiTheme="majorHAnsi" w:cstheme="majorHAnsi"/>
          <w:lang w:val="en-US"/>
        </w:rPr>
        <w:t>centro</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deverá</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coletar</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ao</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menos</w:t>
      </w:r>
      <w:proofErr w:type="spellEnd"/>
      <w:r w:rsidR="007E3251" w:rsidRPr="00627E27">
        <w:rPr>
          <w:rFonts w:asciiTheme="majorHAnsi" w:hAnsiTheme="majorHAnsi" w:cstheme="majorHAnsi"/>
          <w:lang w:val="en-US"/>
        </w:rPr>
        <w:t xml:space="preserve"> 3 </w:t>
      </w:r>
      <w:proofErr w:type="spellStart"/>
      <w:r w:rsidR="007E3251" w:rsidRPr="00627E27">
        <w:rPr>
          <w:rFonts w:asciiTheme="majorHAnsi" w:hAnsiTheme="majorHAnsi" w:cstheme="majorHAnsi"/>
          <w:lang w:val="en-US"/>
        </w:rPr>
        <w:t>telefones</w:t>
      </w:r>
      <w:proofErr w:type="spellEnd"/>
      <w:r w:rsidR="007E3251" w:rsidRPr="00627E27">
        <w:rPr>
          <w:rFonts w:asciiTheme="majorHAnsi" w:hAnsiTheme="majorHAnsi" w:cstheme="majorHAnsi"/>
          <w:lang w:val="en-US"/>
        </w:rPr>
        <w:t xml:space="preserve"> do </w:t>
      </w:r>
      <w:proofErr w:type="spellStart"/>
      <w:r w:rsidR="007E3251" w:rsidRPr="00627E27">
        <w:rPr>
          <w:rFonts w:asciiTheme="majorHAnsi" w:hAnsiTheme="majorHAnsi" w:cstheme="majorHAnsi"/>
          <w:lang w:val="en-US"/>
        </w:rPr>
        <w:t>paciente</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ou</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alguém</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relacionado</w:t>
      </w:r>
      <w:proofErr w:type="spellEnd"/>
      <w:r w:rsidR="007E3251" w:rsidRPr="00627E27">
        <w:rPr>
          <w:rFonts w:asciiTheme="majorHAnsi" w:hAnsiTheme="majorHAnsi" w:cstheme="majorHAnsi"/>
          <w:lang w:val="en-US"/>
        </w:rPr>
        <w:t xml:space="preserve"> </w:t>
      </w:r>
      <w:proofErr w:type="gramStart"/>
      <w:r w:rsidR="007E3251" w:rsidRPr="00627E27">
        <w:rPr>
          <w:rFonts w:asciiTheme="majorHAnsi" w:hAnsiTheme="majorHAnsi" w:cstheme="majorHAnsi"/>
          <w:lang w:val="en-US"/>
        </w:rPr>
        <w:t>a</w:t>
      </w:r>
      <w:proofErr w:type="gram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ele</w:t>
      </w:r>
      <w:proofErr w:type="spellEnd"/>
      <w:r w:rsidR="007E3251" w:rsidRPr="00627E27">
        <w:rPr>
          <w:rFonts w:asciiTheme="majorHAnsi" w:hAnsiTheme="majorHAnsi" w:cstheme="majorHAnsi"/>
          <w:lang w:val="en-US"/>
        </w:rPr>
        <w:t xml:space="preserve"> e </w:t>
      </w:r>
      <w:proofErr w:type="spellStart"/>
      <w:r w:rsidR="007E3251" w:rsidRPr="00627E27">
        <w:rPr>
          <w:rFonts w:asciiTheme="majorHAnsi" w:hAnsiTheme="majorHAnsi" w:cstheme="majorHAnsi"/>
          <w:lang w:val="en-US"/>
        </w:rPr>
        <w:t>preencher</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na</w:t>
      </w:r>
      <w:proofErr w:type="spellEnd"/>
      <w:r w:rsidR="007E3251" w:rsidRPr="00627E27">
        <w:rPr>
          <w:rFonts w:asciiTheme="majorHAnsi" w:hAnsiTheme="majorHAnsi" w:cstheme="majorHAnsi"/>
          <w:lang w:val="en-US"/>
        </w:rPr>
        <w:t xml:space="preserve"> </w:t>
      </w:r>
      <w:proofErr w:type="spellStart"/>
      <w:r w:rsidR="007E3251" w:rsidRPr="00627E27">
        <w:rPr>
          <w:rFonts w:asciiTheme="majorHAnsi" w:hAnsiTheme="majorHAnsi" w:cstheme="majorHAnsi"/>
          <w:lang w:val="en-US"/>
        </w:rPr>
        <w:t>ficha</w:t>
      </w:r>
      <w:proofErr w:type="spellEnd"/>
      <w:r w:rsidR="007E3251" w:rsidRPr="00627E27">
        <w:rPr>
          <w:rFonts w:asciiTheme="majorHAnsi" w:hAnsiTheme="majorHAnsi" w:cstheme="majorHAnsi"/>
          <w:lang w:val="en-US"/>
        </w:rPr>
        <w:t xml:space="preserve"> de coleta de dados </w:t>
      </w:r>
      <w:proofErr w:type="spellStart"/>
      <w:r w:rsidR="007E3251" w:rsidRPr="00627E27">
        <w:rPr>
          <w:rFonts w:asciiTheme="majorHAnsi" w:hAnsiTheme="majorHAnsi" w:cstheme="majorHAnsi"/>
          <w:lang w:val="en-US"/>
        </w:rPr>
        <w:t>eletrônico</w:t>
      </w:r>
      <w:proofErr w:type="spellEnd"/>
      <w:r>
        <w:rPr>
          <w:rFonts w:asciiTheme="majorHAnsi" w:hAnsiTheme="majorHAnsi" w:cstheme="majorHAnsi"/>
          <w:lang w:val="en-US"/>
        </w:rPr>
        <w:t xml:space="preserve"> </w:t>
      </w:r>
    </w:p>
    <w:p w14:paraId="78A88F03" w14:textId="77777777" w:rsidR="00627E27" w:rsidRDefault="00627E27" w:rsidP="00627E27">
      <w:pPr>
        <w:pStyle w:val="ListParagraph"/>
        <w:spacing w:after="160" w:line="360" w:lineRule="auto"/>
        <w:ind w:left="810"/>
        <w:jc w:val="both"/>
        <w:rPr>
          <w:rFonts w:asciiTheme="majorHAnsi" w:hAnsiTheme="majorHAnsi" w:cstheme="majorHAnsi"/>
          <w:lang w:val="en-US"/>
        </w:rPr>
      </w:pPr>
      <w:r>
        <w:rPr>
          <w:rFonts w:asciiTheme="majorHAnsi" w:hAnsiTheme="majorHAnsi" w:cstheme="majorHAnsi"/>
          <w:lang w:val="en-US"/>
        </w:rPr>
        <w:t xml:space="preserve">3. </w:t>
      </w:r>
      <w:r w:rsidRPr="00627E27">
        <w:rPr>
          <w:rFonts w:asciiTheme="majorHAnsi" w:hAnsiTheme="majorHAnsi" w:cstheme="majorHAnsi"/>
          <w:lang w:val="en-US"/>
        </w:rPr>
        <w:t xml:space="preserve">For each patient, a sign must be placed on their bed (during hospitalization) indicating their participation in the study. This should also be included in the medical evolution as soon as the patient is </w:t>
      </w:r>
      <w:proofErr w:type="gramStart"/>
      <w:r w:rsidRPr="00627E27">
        <w:rPr>
          <w:rFonts w:asciiTheme="majorHAnsi" w:hAnsiTheme="majorHAnsi" w:cstheme="majorHAnsi"/>
          <w:lang w:val="en-US"/>
        </w:rPr>
        <w:t>randomized</w:t>
      </w:r>
      <w:proofErr w:type="gramEnd"/>
      <w:r w:rsidRPr="00627E27">
        <w:rPr>
          <w:rFonts w:asciiTheme="majorHAnsi" w:hAnsiTheme="majorHAnsi" w:cstheme="majorHAnsi"/>
          <w:lang w:val="en-US"/>
        </w:rPr>
        <w:t xml:space="preserve"> and intervention prescribed – on D1. This evolution document will be monitored</w:t>
      </w:r>
      <w:r>
        <w:rPr>
          <w:rFonts w:asciiTheme="majorHAnsi" w:hAnsiTheme="majorHAnsi" w:cstheme="majorHAnsi"/>
          <w:lang w:val="en-US"/>
        </w:rPr>
        <w:t xml:space="preserve"> </w:t>
      </w:r>
    </w:p>
    <w:p w14:paraId="054F9EDB" w14:textId="4DB014B7" w:rsidR="004B45C6" w:rsidRPr="00627E27" w:rsidRDefault="00627E27" w:rsidP="00627E27">
      <w:pPr>
        <w:pStyle w:val="ListParagraph"/>
        <w:spacing w:after="160" w:line="360" w:lineRule="auto"/>
        <w:ind w:left="810"/>
        <w:jc w:val="both"/>
        <w:rPr>
          <w:rFonts w:asciiTheme="majorHAnsi" w:hAnsiTheme="majorHAnsi" w:cstheme="majorHAnsi"/>
          <w:lang w:val="en-US"/>
        </w:rPr>
      </w:pPr>
      <w:r>
        <w:rPr>
          <w:rFonts w:asciiTheme="majorHAnsi" w:hAnsiTheme="majorHAnsi" w:cstheme="majorHAnsi"/>
          <w:lang w:val="en-US"/>
        </w:rPr>
        <w:t>4</w:t>
      </w:r>
      <w:r w:rsidRPr="00627E27">
        <w:rPr>
          <w:rFonts w:asciiTheme="majorHAnsi" w:hAnsiTheme="majorHAnsi" w:cstheme="majorHAnsi"/>
          <w:lang w:val="en-US"/>
        </w:rPr>
        <w:t xml:space="preserve">. Team change: The center has 48 hours to inform the sponsor (HSL) about </w:t>
      </w:r>
      <w:proofErr w:type="gramStart"/>
      <w:r w:rsidRPr="00627E27">
        <w:rPr>
          <w:rFonts w:asciiTheme="majorHAnsi" w:hAnsiTheme="majorHAnsi" w:cstheme="majorHAnsi"/>
          <w:lang w:val="en-US"/>
        </w:rPr>
        <w:t>any and all</w:t>
      </w:r>
      <w:proofErr w:type="gramEnd"/>
      <w:r w:rsidRPr="00627E27">
        <w:rPr>
          <w:rFonts w:asciiTheme="majorHAnsi" w:hAnsiTheme="majorHAnsi" w:cstheme="majorHAnsi"/>
          <w:lang w:val="en-US"/>
        </w:rPr>
        <w:t xml:space="preserve"> team changes, so that recruitment is not affected and that new professionals are properly trained and delegated.</w:t>
      </w:r>
    </w:p>
    <w:p w14:paraId="07365C7E" w14:textId="1930DC5C" w:rsidR="004B45C6" w:rsidRPr="00412E44" w:rsidRDefault="00AD5112">
      <w:pPr>
        <w:spacing w:after="160" w:line="360" w:lineRule="auto"/>
        <w:jc w:val="both"/>
        <w:rPr>
          <w:rFonts w:asciiTheme="majorHAnsi" w:hAnsiTheme="majorHAnsi" w:cstheme="majorHAnsi"/>
          <w:lang w:val="pt-BR"/>
        </w:rPr>
      </w:pPr>
      <w:r w:rsidRPr="00AD5112">
        <w:rPr>
          <w:noProof/>
        </w:rPr>
        <w:drawing>
          <wp:inline distT="0" distB="0" distL="0" distR="0" wp14:anchorId="2DDDFE63" wp14:editId="37BE707B">
            <wp:extent cx="5943600" cy="2982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82595"/>
                    </a:xfrm>
                    <a:prstGeom prst="rect">
                      <a:avLst/>
                    </a:prstGeom>
                    <a:noFill/>
                    <a:ln>
                      <a:noFill/>
                    </a:ln>
                  </pic:spPr>
                </pic:pic>
              </a:graphicData>
            </a:graphic>
          </wp:inline>
        </w:drawing>
      </w:r>
    </w:p>
    <w:p w14:paraId="63CA6C57" w14:textId="77777777" w:rsidR="007E3251" w:rsidRPr="00412E44" w:rsidRDefault="007E3251">
      <w:pPr>
        <w:spacing w:after="160" w:line="360" w:lineRule="auto"/>
        <w:jc w:val="both"/>
        <w:rPr>
          <w:rFonts w:asciiTheme="majorHAnsi" w:hAnsiTheme="majorHAnsi" w:cstheme="majorHAnsi"/>
          <w:b/>
          <w:sz w:val="18"/>
          <w:szCs w:val="18"/>
          <w:u w:val="single"/>
          <w:lang w:val="pt-BR"/>
        </w:rPr>
      </w:pPr>
    </w:p>
    <w:p w14:paraId="2FA39250" w14:textId="6D778833" w:rsidR="007F40CC" w:rsidRPr="007F40CC" w:rsidRDefault="007F40CC" w:rsidP="00D76638">
      <w:pPr>
        <w:numPr>
          <w:ilvl w:val="0"/>
          <w:numId w:val="12"/>
        </w:numPr>
        <w:spacing w:after="160" w:line="360" w:lineRule="auto"/>
        <w:jc w:val="both"/>
        <w:rPr>
          <w:rFonts w:asciiTheme="majorHAnsi" w:hAnsiTheme="majorHAnsi" w:cstheme="majorHAnsi"/>
          <w:b/>
          <w:lang w:val="pt-BR"/>
        </w:rPr>
      </w:pPr>
      <w:r w:rsidRPr="007F40CC">
        <w:rPr>
          <w:rFonts w:asciiTheme="majorHAnsi" w:hAnsiTheme="majorHAnsi" w:cstheme="majorHAnsi"/>
          <w:b/>
          <w:lang w:val="pt-BR"/>
        </w:rPr>
        <w:t>DISCLOSURE OF PROJECT RESULTS</w:t>
      </w:r>
    </w:p>
    <w:p w14:paraId="26516B5A" w14:textId="77777777" w:rsidR="007F40CC" w:rsidRPr="007F40CC" w:rsidRDefault="00DA6D78" w:rsidP="007F40CC">
      <w:pPr>
        <w:spacing w:after="160" w:line="360" w:lineRule="auto"/>
        <w:jc w:val="both"/>
        <w:rPr>
          <w:rFonts w:asciiTheme="majorHAnsi" w:hAnsiTheme="majorHAnsi" w:cstheme="majorHAnsi"/>
          <w:bCs/>
          <w:lang w:val="en-US"/>
        </w:rPr>
      </w:pPr>
      <w:r w:rsidRPr="007F40CC">
        <w:rPr>
          <w:rFonts w:asciiTheme="majorHAnsi" w:hAnsiTheme="majorHAnsi" w:cstheme="majorHAnsi"/>
          <w:b/>
          <w:lang w:val="en-US"/>
        </w:rPr>
        <w:lastRenderedPageBreak/>
        <w:t xml:space="preserve"> </w:t>
      </w:r>
      <w:r w:rsidRPr="007F40CC">
        <w:rPr>
          <w:rFonts w:asciiTheme="majorHAnsi" w:hAnsiTheme="majorHAnsi" w:cstheme="majorHAnsi"/>
          <w:b/>
          <w:lang w:val="en-US"/>
        </w:rPr>
        <w:tab/>
      </w:r>
      <w:r w:rsidR="007F40CC" w:rsidRPr="007F40CC">
        <w:rPr>
          <w:rFonts w:asciiTheme="majorHAnsi" w:hAnsiTheme="majorHAnsi" w:cstheme="majorHAnsi"/>
          <w:bCs/>
          <w:lang w:val="en-US"/>
        </w:rPr>
        <w:t>It is important to emphasize that the disclosures provided herein will only be viable when the analysis of the data in the subsequent three-year period is completed. For the dissemination of project results, the following activities are planned:</w:t>
      </w:r>
    </w:p>
    <w:p w14:paraId="1C902594" w14:textId="77777777" w:rsidR="007F40CC" w:rsidRPr="007F40CC" w:rsidRDefault="007F40CC" w:rsidP="007F40CC">
      <w:pPr>
        <w:spacing w:after="160" w:line="360" w:lineRule="auto"/>
        <w:jc w:val="both"/>
        <w:rPr>
          <w:rFonts w:asciiTheme="majorHAnsi" w:hAnsiTheme="majorHAnsi" w:cstheme="majorHAnsi"/>
          <w:bCs/>
          <w:lang w:val="en-US"/>
        </w:rPr>
      </w:pPr>
      <w:r w:rsidRPr="007F40CC">
        <w:rPr>
          <w:rFonts w:asciiTheme="majorHAnsi" w:hAnsiTheme="majorHAnsi" w:cstheme="majorHAnsi"/>
          <w:bCs/>
          <w:lang w:val="en-US"/>
        </w:rPr>
        <w:t>● Preparation of two manuscripts:</w:t>
      </w:r>
    </w:p>
    <w:p w14:paraId="60FE55FC" w14:textId="77777777" w:rsidR="007F40CC" w:rsidRPr="007F40CC" w:rsidRDefault="007F40CC" w:rsidP="007F40CC">
      <w:pPr>
        <w:spacing w:after="160" w:line="360" w:lineRule="auto"/>
        <w:ind w:left="450"/>
        <w:jc w:val="both"/>
        <w:rPr>
          <w:rFonts w:asciiTheme="majorHAnsi" w:hAnsiTheme="majorHAnsi" w:cstheme="majorHAnsi"/>
          <w:bCs/>
          <w:lang w:val="en-US"/>
        </w:rPr>
      </w:pPr>
      <w:r w:rsidRPr="007F40CC">
        <w:rPr>
          <w:rFonts w:asciiTheme="majorHAnsi" w:hAnsiTheme="majorHAnsi" w:cstheme="majorHAnsi"/>
          <w:bCs/>
          <w:lang w:val="en-US"/>
        </w:rPr>
        <w:t xml:space="preserve">○ A manuscript with the report of the </w:t>
      </w:r>
      <w:proofErr w:type="gramStart"/>
      <w:r w:rsidRPr="007F40CC">
        <w:rPr>
          <w:rFonts w:asciiTheme="majorHAnsi" w:hAnsiTheme="majorHAnsi" w:cstheme="majorHAnsi"/>
          <w:bCs/>
          <w:lang w:val="en-US"/>
        </w:rPr>
        <w:t>final results</w:t>
      </w:r>
      <w:proofErr w:type="gramEnd"/>
      <w:r w:rsidRPr="007F40CC">
        <w:rPr>
          <w:rFonts w:asciiTheme="majorHAnsi" w:hAnsiTheme="majorHAnsi" w:cstheme="majorHAnsi"/>
          <w:bCs/>
          <w:lang w:val="en-US"/>
        </w:rPr>
        <w:t xml:space="preserve"> of the randomized clinical trial, prepared following the CONSORT [Schulz 2010], to be submitted in a scientific journal indexed preferably in ISI-Clarivate Analytics and</w:t>
      </w:r>
    </w:p>
    <w:p w14:paraId="18359FBB" w14:textId="77777777" w:rsidR="007F40CC" w:rsidRPr="007F40CC" w:rsidRDefault="007F40CC" w:rsidP="007F40CC">
      <w:pPr>
        <w:spacing w:after="160" w:line="360" w:lineRule="auto"/>
        <w:ind w:left="450"/>
        <w:jc w:val="both"/>
        <w:rPr>
          <w:rFonts w:asciiTheme="majorHAnsi" w:hAnsiTheme="majorHAnsi" w:cstheme="majorHAnsi"/>
          <w:bCs/>
          <w:lang w:val="en-US"/>
        </w:rPr>
      </w:pPr>
      <w:r w:rsidRPr="007F40CC">
        <w:rPr>
          <w:rFonts w:asciiTheme="majorHAnsi" w:hAnsiTheme="majorHAnsi" w:cstheme="majorHAnsi"/>
          <w:bCs/>
          <w:lang w:val="en-US"/>
        </w:rPr>
        <w:t>○ A manuscript with the report of the cost-effectiveness study, prepared following the CHEERS [</w:t>
      </w:r>
      <w:proofErr w:type="spellStart"/>
      <w:r w:rsidRPr="007F40CC">
        <w:rPr>
          <w:rFonts w:asciiTheme="majorHAnsi" w:hAnsiTheme="majorHAnsi" w:cstheme="majorHAnsi"/>
          <w:bCs/>
          <w:lang w:val="en-US"/>
        </w:rPr>
        <w:t>Husereau</w:t>
      </w:r>
      <w:proofErr w:type="spellEnd"/>
      <w:r w:rsidRPr="007F40CC">
        <w:rPr>
          <w:rFonts w:asciiTheme="majorHAnsi" w:hAnsiTheme="majorHAnsi" w:cstheme="majorHAnsi"/>
          <w:bCs/>
          <w:lang w:val="en-US"/>
        </w:rPr>
        <w:t xml:space="preserve"> 2013], to be submitted to a scientific journal (preferably indexed in ISI-Clarivate Analytics).</w:t>
      </w:r>
    </w:p>
    <w:p w14:paraId="56E355D3" w14:textId="4166F0F3" w:rsidR="00E1378B" w:rsidRPr="007F40CC" w:rsidRDefault="007F40CC" w:rsidP="007F40CC">
      <w:pPr>
        <w:spacing w:after="160" w:line="360" w:lineRule="auto"/>
        <w:jc w:val="both"/>
        <w:rPr>
          <w:rFonts w:asciiTheme="majorHAnsi" w:hAnsiTheme="majorHAnsi" w:cstheme="majorHAnsi"/>
          <w:bCs/>
          <w:lang w:val="en-US"/>
        </w:rPr>
      </w:pPr>
      <w:r w:rsidRPr="007F40CC">
        <w:rPr>
          <w:rFonts w:asciiTheme="majorHAnsi" w:hAnsiTheme="majorHAnsi" w:cstheme="majorHAnsi"/>
          <w:bCs/>
          <w:lang w:val="en-US"/>
        </w:rPr>
        <w:t>● Two posters or oral presentations to be submitted to international congresses in the clinical area of ​​interest and/or methodology/</w:t>
      </w:r>
      <w:proofErr w:type="spellStart"/>
      <w:r w:rsidRPr="007F40CC">
        <w:rPr>
          <w:rFonts w:asciiTheme="majorHAnsi" w:hAnsiTheme="majorHAnsi" w:cstheme="majorHAnsi"/>
          <w:bCs/>
          <w:lang w:val="en-US"/>
        </w:rPr>
        <w:t>pharmacoeconomics</w:t>
      </w:r>
      <w:proofErr w:type="spellEnd"/>
      <w:r w:rsidRPr="007F40CC">
        <w:rPr>
          <w:rFonts w:asciiTheme="majorHAnsi" w:hAnsiTheme="majorHAnsi" w:cstheme="majorHAnsi"/>
          <w:bCs/>
          <w:lang w:val="en-US"/>
        </w:rPr>
        <w:t xml:space="preserve"> area.</w:t>
      </w:r>
    </w:p>
    <w:p w14:paraId="530D6470" w14:textId="77777777" w:rsidR="00E1378B" w:rsidRPr="007F40CC" w:rsidRDefault="00E1378B" w:rsidP="00E1378B">
      <w:pPr>
        <w:shd w:val="clear" w:color="auto" w:fill="FFFFFF"/>
        <w:spacing w:line="360" w:lineRule="auto"/>
        <w:ind w:left="720"/>
        <w:jc w:val="both"/>
        <w:rPr>
          <w:rFonts w:asciiTheme="majorHAnsi" w:hAnsiTheme="majorHAnsi" w:cstheme="majorHAnsi"/>
          <w:lang w:val="en-US"/>
        </w:rPr>
      </w:pPr>
    </w:p>
    <w:p w14:paraId="7D451D9C" w14:textId="5F3CB86C" w:rsidR="007F40CC" w:rsidRPr="007F40CC" w:rsidRDefault="007F40CC" w:rsidP="004F6209">
      <w:pPr>
        <w:numPr>
          <w:ilvl w:val="0"/>
          <w:numId w:val="12"/>
        </w:numPr>
        <w:spacing w:after="160" w:line="360" w:lineRule="auto"/>
        <w:jc w:val="both"/>
        <w:rPr>
          <w:rFonts w:asciiTheme="majorHAnsi" w:hAnsiTheme="majorHAnsi" w:cstheme="majorHAnsi"/>
          <w:b/>
          <w:lang w:val="pt-BR"/>
        </w:rPr>
      </w:pPr>
      <w:r w:rsidRPr="007F40CC">
        <w:rPr>
          <w:rFonts w:asciiTheme="majorHAnsi" w:hAnsiTheme="majorHAnsi" w:cstheme="majorHAnsi"/>
          <w:b/>
          <w:lang w:val="pt-BR"/>
        </w:rPr>
        <w:t>ADDITIONAL INFORMATION AND ATTACHMENTS</w:t>
      </w:r>
    </w:p>
    <w:p w14:paraId="3D0E1A15" w14:textId="77777777" w:rsidR="007F40CC" w:rsidRPr="007F40CC" w:rsidRDefault="007F40CC" w:rsidP="0062419E">
      <w:pPr>
        <w:shd w:val="clear" w:color="auto" w:fill="FFFFFF"/>
        <w:spacing w:before="240" w:after="240" w:line="360" w:lineRule="auto"/>
        <w:jc w:val="both"/>
        <w:rPr>
          <w:rFonts w:asciiTheme="majorHAnsi" w:hAnsiTheme="majorHAnsi" w:cstheme="majorHAnsi"/>
          <w:b/>
          <w:lang w:val="en-US"/>
        </w:rPr>
      </w:pPr>
      <w:r w:rsidRPr="007F40CC">
        <w:rPr>
          <w:rFonts w:asciiTheme="majorHAnsi" w:hAnsiTheme="majorHAnsi" w:cstheme="majorHAnsi"/>
          <w:b/>
          <w:lang w:val="en-US"/>
        </w:rPr>
        <w:t>About scientific production and publication of results</w:t>
      </w:r>
    </w:p>
    <w:p w14:paraId="1E0EE82F" w14:textId="77777777" w:rsidR="007F40CC" w:rsidRPr="007F40CC" w:rsidRDefault="007F40CC" w:rsidP="007F40CC">
      <w:pPr>
        <w:pStyle w:val="paragraph"/>
        <w:ind w:firstLine="720"/>
        <w:jc w:val="both"/>
        <w:textAlignment w:val="baseline"/>
        <w:rPr>
          <w:rFonts w:asciiTheme="majorHAnsi" w:eastAsia="Arial" w:hAnsiTheme="majorHAnsi" w:cstheme="majorHAnsi"/>
          <w:sz w:val="22"/>
          <w:szCs w:val="22"/>
          <w:lang w:val="en-US"/>
        </w:rPr>
      </w:pPr>
      <w:r w:rsidRPr="007F40CC">
        <w:rPr>
          <w:rFonts w:asciiTheme="majorHAnsi" w:eastAsia="Arial" w:hAnsiTheme="majorHAnsi" w:cstheme="majorHAnsi"/>
          <w:sz w:val="22"/>
          <w:szCs w:val="22"/>
          <w:lang w:val="en-US"/>
        </w:rPr>
        <w:t xml:space="preserve">The delineation of the scope of scientific productions that constitute the delivery of the project agreed with the Ministry of Health, as well as the definition of the collaborators involved, must be defined by the project leadership. The leadership figure is usually exercised by the project manager, the research project </w:t>
      </w:r>
      <w:proofErr w:type="gramStart"/>
      <w:r w:rsidRPr="007F40CC">
        <w:rPr>
          <w:rFonts w:asciiTheme="majorHAnsi" w:eastAsia="Arial" w:hAnsiTheme="majorHAnsi" w:cstheme="majorHAnsi"/>
          <w:sz w:val="22"/>
          <w:szCs w:val="22"/>
          <w:lang w:val="en-US"/>
        </w:rPr>
        <w:t>coordinator</w:t>
      </w:r>
      <w:proofErr w:type="gramEnd"/>
      <w:r w:rsidRPr="007F40CC">
        <w:rPr>
          <w:rFonts w:asciiTheme="majorHAnsi" w:eastAsia="Arial" w:hAnsiTheme="majorHAnsi" w:cstheme="majorHAnsi"/>
          <w:sz w:val="22"/>
          <w:szCs w:val="22"/>
          <w:lang w:val="en-US"/>
        </w:rPr>
        <w:t xml:space="preserve"> or the product owner (P.O).</w:t>
      </w:r>
    </w:p>
    <w:p w14:paraId="3CEE1EFA" w14:textId="77777777" w:rsidR="007F40CC" w:rsidRPr="007F40CC" w:rsidRDefault="007F40CC" w:rsidP="007F40CC">
      <w:pPr>
        <w:pStyle w:val="paragraph"/>
        <w:ind w:firstLine="720"/>
        <w:jc w:val="both"/>
        <w:textAlignment w:val="baseline"/>
        <w:rPr>
          <w:rFonts w:asciiTheme="majorHAnsi" w:eastAsia="Arial" w:hAnsiTheme="majorHAnsi" w:cstheme="majorHAnsi"/>
          <w:sz w:val="22"/>
          <w:szCs w:val="22"/>
          <w:lang w:val="en-US"/>
        </w:rPr>
      </w:pPr>
      <w:r w:rsidRPr="007F40CC">
        <w:rPr>
          <w:rFonts w:asciiTheme="majorHAnsi" w:eastAsia="Arial" w:hAnsiTheme="majorHAnsi" w:cstheme="majorHAnsi"/>
          <w:sz w:val="22"/>
          <w:szCs w:val="22"/>
          <w:lang w:val="en-US"/>
        </w:rPr>
        <w:t xml:space="preserve">The scientific productions that make up deliveries agreed in the work plan must be prioritized, in relation to other types of production within the scope of the PROADI-SUS project. This understanding is important so that the supplementary productions eventually developed do not incur the situation of scientific duplication, that is, the double publication of the same results of a study. Therefore, it is recommended that the scope of planned scientific production be defined early, </w:t>
      </w:r>
      <w:proofErr w:type="gramStart"/>
      <w:r w:rsidRPr="007F40CC">
        <w:rPr>
          <w:rFonts w:asciiTheme="majorHAnsi" w:eastAsia="Arial" w:hAnsiTheme="majorHAnsi" w:cstheme="majorHAnsi"/>
          <w:sz w:val="22"/>
          <w:szCs w:val="22"/>
          <w:lang w:val="en-US"/>
        </w:rPr>
        <w:t>during the course of</w:t>
      </w:r>
      <w:proofErr w:type="gramEnd"/>
      <w:r w:rsidRPr="007F40CC">
        <w:rPr>
          <w:rFonts w:asciiTheme="majorHAnsi" w:eastAsia="Arial" w:hAnsiTheme="majorHAnsi" w:cstheme="majorHAnsi"/>
          <w:sz w:val="22"/>
          <w:szCs w:val="22"/>
          <w:lang w:val="en-US"/>
        </w:rPr>
        <w:t xml:space="preserve"> the project, in order to identify the windows of opportunity for supplementary scientific production.</w:t>
      </w:r>
    </w:p>
    <w:p w14:paraId="162736BD" w14:textId="77777777" w:rsidR="007F40CC" w:rsidRPr="007F40CC" w:rsidRDefault="007F40CC" w:rsidP="007F40CC">
      <w:pPr>
        <w:pStyle w:val="paragraph"/>
        <w:ind w:firstLine="720"/>
        <w:jc w:val="both"/>
        <w:textAlignment w:val="baseline"/>
        <w:rPr>
          <w:rFonts w:asciiTheme="majorHAnsi" w:eastAsia="Arial" w:hAnsiTheme="majorHAnsi" w:cstheme="majorHAnsi"/>
          <w:sz w:val="22"/>
          <w:szCs w:val="22"/>
          <w:lang w:val="en-US"/>
        </w:rPr>
      </w:pPr>
      <w:r w:rsidRPr="007F40CC">
        <w:rPr>
          <w:rFonts w:asciiTheme="majorHAnsi" w:eastAsia="Arial" w:hAnsiTheme="majorHAnsi" w:cstheme="majorHAnsi"/>
          <w:sz w:val="22"/>
          <w:szCs w:val="22"/>
          <w:lang w:val="en-US"/>
        </w:rPr>
        <w:t>The definition of authors' roles should be carried out in the planning phase of the study, whenever possible2. The early definition of authors' roles increases transparency in relation to the attributions of the research team, aligning individual expectations with the order of authorship of the final product. This definition is especially important for authors with a prominent role, such as first author, last author, and the corresponding author.</w:t>
      </w:r>
    </w:p>
    <w:p w14:paraId="643CA540" w14:textId="77777777" w:rsidR="007F40CC" w:rsidRDefault="007F40CC" w:rsidP="007F40CC">
      <w:pPr>
        <w:pStyle w:val="paragraph"/>
        <w:spacing w:before="0" w:beforeAutospacing="0" w:after="0" w:afterAutospacing="0"/>
        <w:ind w:firstLine="720"/>
        <w:jc w:val="both"/>
        <w:textAlignment w:val="baseline"/>
        <w:rPr>
          <w:rFonts w:asciiTheme="majorHAnsi" w:eastAsia="Arial" w:hAnsiTheme="majorHAnsi" w:cstheme="majorHAnsi"/>
          <w:sz w:val="22"/>
          <w:szCs w:val="22"/>
          <w:lang w:val="en-US"/>
        </w:rPr>
      </w:pPr>
      <w:r w:rsidRPr="007F40CC">
        <w:rPr>
          <w:rFonts w:asciiTheme="majorHAnsi" w:eastAsia="Arial" w:hAnsiTheme="majorHAnsi" w:cstheme="majorHAnsi"/>
          <w:sz w:val="22"/>
          <w:szCs w:val="22"/>
          <w:lang w:val="en-US"/>
        </w:rPr>
        <w:t>The selection of authors must be guided by the fulfillment of the four criteria for authorship recognition proposed by the ICMJE.</w:t>
      </w:r>
    </w:p>
    <w:p w14:paraId="0A7A675E" w14:textId="3156A675" w:rsidR="0062419E" w:rsidRPr="007F40CC" w:rsidRDefault="0062419E" w:rsidP="007F40CC">
      <w:pPr>
        <w:pStyle w:val="paragraph"/>
        <w:spacing w:before="0" w:beforeAutospacing="0" w:after="0" w:afterAutospacing="0"/>
        <w:jc w:val="both"/>
        <w:textAlignment w:val="baseline"/>
        <w:rPr>
          <w:rFonts w:asciiTheme="majorHAnsi" w:hAnsiTheme="majorHAnsi" w:cstheme="majorHAnsi"/>
          <w:sz w:val="22"/>
          <w:szCs w:val="22"/>
          <w:lang w:val="en-US"/>
        </w:rPr>
      </w:pPr>
      <w:r w:rsidRPr="007F40CC">
        <w:rPr>
          <w:rStyle w:val="eop"/>
          <w:rFonts w:asciiTheme="majorHAnsi" w:hAnsiTheme="majorHAnsi" w:cstheme="majorHAnsi"/>
          <w:sz w:val="22"/>
          <w:szCs w:val="22"/>
          <w:lang w:val="en-US"/>
        </w:rPr>
        <w:t> </w:t>
      </w:r>
    </w:p>
    <w:p w14:paraId="131C7404" w14:textId="77777777" w:rsidR="007F40CC" w:rsidRPr="007F40CC" w:rsidRDefault="007F40CC" w:rsidP="007F40CC">
      <w:pPr>
        <w:pStyle w:val="paragraph"/>
        <w:jc w:val="both"/>
        <w:textAlignment w:val="baseline"/>
        <w:rPr>
          <w:rStyle w:val="normaltextrun"/>
          <w:rFonts w:asciiTheme="majorHAnsi" w:hAnsiTheme="majorHAnsi" w:cstheme="majorHAnsi"/>
          <w:b/>
          <w:bCs/>
          <w:sz w:val="22"/>
          <w:szCs w:val="22"/>
        </w:rPr>
      </w:pPr>
    </w:p>
    <w:p w14:paraId="5D887F0E" w14:textId="459B6A1C" w:rsidR="0062419E" w:rsidRPr="00882BFE" w:rsidRDefault="007F40CC" w:rsidP="007F40CC">
      <w:pPr>
        <w:pStyle w:val="paragraph"/>
        <w:spacing w:before="0" w:beforeAutospacing="0" w:after="0" w:afterAutospacing="0"/>
        <w:jc w:val="both"/>
        <w:textAlignment w:val="baseline"/>
        <w:rPr>
          <w:rFonts w:asciiTheme="majorHAnsi" w:hAnsiTheme="majorHAnsi" w:cstheme="majorHAnsi"/>
          <w:sz w:val="22"/>
          <w:szCs w:val="22"/>
        </w:rPr>
      </w:pPr>
      <w:r w:rsidRPr="007F40CC">
        <w:rPr>
          <w:rStyle w:val="normaltextrun"/>
          <w:rFonts w:asciiTheme="majorHAnsi" w:hAnsiTheme="majorHAnsi" w:cstheme="majorHAnsi"/>
          <w:b/>
          <w:bCs/>
          <w:sz w:val="22"/>
          <w:szCs w:val="22"/>
        </w:rPr>
        <w:t>ICMJE Authorship Criteria (2):</w:t>
      </w:r>
      <w:r w:rsidR="0062419E" w:rsidRPr="00882BFE">
        <w:rPr>
          <w:rStyle w:val="eop"/>
          <w:rFonts w:asciiTheme="majorHAnsi" w:hAnsiTheme="majorHAnsi" w:cstheme="majorHAnsi"/>
          <w:sz w:val="22"/>
          <w:szCs w:val="22"/>
        </w:rPr>
        <w:t> </w:t>
      </w:r>
    </w:p>
    <w:p w14:paraId="1413BE83" w14:textId="7E8569DD" w:rsidR="00E805EC" w:rsidRDefault="00E805EC">
      <w:pPr>
        <w:shd w:val="clear" w:color="auto" w:fill="FFFFFF"/>
        <w:spacing w:line="360" w:lineRule="auto"/>
        <w:ind w:left="720"/>
        <w:rPr>
          <w:rFonts w:asciiTheme="majorHAnsi" w:hAnsiTheme="majorHAnsi" w:cstheme="majorHAnsi"/>
          <w:highlight w:val="white"/>
          <w:lang w:val="pt-BR"/>
        </w:rPr>
      </w:pPr>
    </w:p>
    <w:p w14:paraId="74B4307B" w14:textId="77777777" w:rsidR="007F40CC" w:rsidRPr="007F40CC" w:rsidRDefault="007F40CC" w:rsidP="007F40CC">
      <w:pPr>
        <w:shd w:val="clear" w:color="auto" w:fill="FFFFFF"/>
        <w:spacing w:line="360" w:lineRule="auto"/>
        <w:rPr>
          <w:rFonts w:asciiTheme="majorHAnsi" w:hAnsiTheme="majorHAnsi" w:cstheme="majorHAnsi"/>
          <w:lang w:val="en-US"/>
        </w:rPr>
      </w:pPr>
      <w:r w:rsidRPr="007F40CC">
        <w:rPr>
          <w:rFonts w:asciiTheme="majorHAnsi" w:hAnsiTheme="majorHAnsi" w:cstheme="majorHAnsi"/>
          <w:lang w:val="en-US"/>
        </w:rPr>
        <w:t xml:space="preserve">1 – Substantial contributions to the conception or design of the work; or the acquisition, </w:t>
      </w:r>
      <w:proofErr w:type="gramStart"/>
      <w:r w:rsidRPr="007F40CC">
        <w:rPr>
          <w:rFonts w:asciiTheme="majorHAnsi" w:hAnsiTheme="majorHAnsi" w:cstheme="majorHAnsi"/>
          <w:lang w:val="en-US"/>
        </w:rPr>
        <w:t>analysis</w:t>
      </w:r>
      <w:proofErr w:type="gramEnd"/>
      <w:r w:rsidRPr="007F40CC">
        <w:rPr>
          <w:rFonts w:asciiTheme="majorHAnsi" w:hAnsiTheme="majorHAnsi" w:cstheme="majorHAnsi"/>
          <w:lang w:val="en-US"/>
        </w:rPr>
        <w:t xml:space="preserve"> or interpretation of data for work; AND</w:t>
      </w:r>
    </w:p>
    <w:p w14:paraId="3FB4CCE7" w14:textId="77777777" w:rsidR="007F40CC" w:rsidRPr="007F40CC" w:rsidRDefault="007F40CC" w:rsidP="007F40CC">
      <w:pPr>
        <w:shd w:val="clear" w:color="auto" w:fill="FFFFFF"/>
        <w:spacing w:line="360" w:lineRule="auto"/>
        <w:rPr>
          <w:rFonts w:asciiTheme="majorHAnsi" w:hAnsiTheme="majorHAnsi" w:cstheme="majorHAnsi"/>
          <w:lang w:val="en-US"/>
        </w:rPr>
      </w:pPr>
      <w:r w:rsidRPr="007F40CC">
        <w:rPr>
          <w:rFonts w:asciiTheme="majorHAnsi" w:hAnsiTheme="majorHAnsi" w:cstheme="majorHAnsi"/>
          <w:lang w:val="en-US"/>
        </w:rPr>
        <w:t>2 – Elaboration of the work or critical review of it regarding its important intellectual content; AND</w:t>
      </w:r>
    </w:p>
    <w:p w14:paraId="16259B41" w14:textId="77777777" w:rsidR="007F40CC" w:rsidRPr="007F40CC" w:rsidRDefault="007F40CC" w:rsidP="007F40CC">
      <w:pPr>
        <w:shd w:val="clear" w:color="auto" w:fill="FFFFFF"/>
        <w:spacing w:line="360" w:lineRule="auto"/>
        <w:rPr>
          <w:rFonts w:asciiTheme="majorHAnsi" w:hAnsiTheme="majorHAnsi" w:cstheme="majorHAnsi"/>
          <w:lang w:val="en-US"/>
        </w:rPr>
      </w:pPr>
      <w:r w:rsidRPr="007F40CC">
        <w:rPr>
          <w:rFonts w:asciiTheme="majorHAnsi" w:hAnsiTheme="majorHAnsi" w:cstheme="majorHAnsi"/>
          <w:lang w:val="en-US"/>
        </w:rPr>
        <w:t>3 – Final approval of the version to be published; AND</w:t>
      </w:r>
    </w:p>
    <w:p w14:paraId="3BC1BE37" w14:textId="77777777" w:rsidR="007F40CC" w:rsidRPr="007F40CC" w:rsidRDefault="007F40CC" w:rsidP="007F40CC">
      <w:pPr>
        <w:shd w:val="clear" w:color="auto" w:fill="FFFFFF"/>
        <w:spacing w:line="360" w:lineRule="auto"/>
        <w:rPr>
          <w:rFonts w:asciiTheme="majorHAnsi" w:hAnsiTheme="majorHAnsi" w:cstheme="majorHAnsi"/>
          <w:lang w:val="en-US"/>
        </w:rPr>
      </w:pPr>
      <w:r w:rsidRPr="007F40CC">
        <w:rPr>
          <w:rFonts w:asciiTheme="majorHAnsi" w:hAnsiTheme="majorHAnsi" w:cstheme="majorHAnsi"/>
          <w:lang w:val="en-US"/>
        </w:rPr>
        <w:t>4 – Responsibility for all aspects of the study ensuring that issues related to the accuracy or completeness of any part of the study are properly investigated and resolved.</w:t>
      </w:r>
    </w:p>
    <w:p w14:paraId="12AB2743" w14:textId="77777777" w:rsidR="007F40CC" w:rsidRPr="007F40CC" w:rsidRDefault="007F40CC" w:rsidP="007F40CC">
      <w:pPr>
        <w:shd w:val="clear" w:color="auto" w:fill="FFFFFF"/>
        <w:spacing w:line="360" w:lineRule="auto"/>
        <w:ind w:firstLine="720"/>
        <w:rPr>
          <w:rFonts w:asciiTheme="majorHAnsi" w:hAnsiTheme="majorHAnsi" w:cstheme="majorHAnsi"/>
          <w:lang w:val="en-US"/>
        </w:rPr>
      </w:pPr>
      <w:r w:rsidRPr="007F40CC">
        <w:rPr>
          <w:rFonts w:asciiTheme="majorHAnsi" w:hAnsiTheme="majorHAnsi" w:cstheme="majorHAnsi"/>
          <w:lang w:val="en-US"/>
        </w:rPr>
        <w:t>It must be ensured that all authors involved in scientific production have a fair opportunity to make their contributions, so that they can legitimize their authorship. Likewise, it must be ensured that everyone who has contributed to the four ICMJE criteria is included among the authors.</w:t>
      </w:r>
    </w:p>
    <w:p w14:paraId="5F3B47AF" w14:textId="4B0E02AA" w:rsidR="007F40CC" w:rsidRPr="007F40CC" w:rsidRDefault="007F40CC" w:rsidP="007F40CC">
      <w:pPr>
        <w:shd w:val="clear" w:color="auto" w:fill="FFFFFF"/>
        <w:spacing w:line="360" w:lineRule="auto"/>
        <w:ind w:firstLine="720"/>
        <w:rPr>
          <w:rFonts w:asciiTheme="majorHAnsi" w:hAnsiTheme="majorHAnsi" w:cstheme="majorHAnsi"/>
          <w:highlight w:val="white"/>
          <w:lang w:val="en-US"/>
        </w:rPr>
      </w:pPr>
      <w:r w:rsidRPr="007F40CC">
        <w:rPr>
          <w:rFonts w:asciiTheme="majorHAnsi" w:hAnsiTheme="majorHAnsi" w:cstheme="majorHAnsi"/>
          <w:lang w:val="en-US"/>
        </w:rPr>
        <w:t xml:space="preserve">Regarding the meeting with the participating researchers and the presentation of results at an international congress. It is proposed in this work plan a virtual meeting with all the researchers, SCITE and ANVISA to present the progress of the study, discuss possible obstacles and scientific training of the researchers of the research centers. A meeting of researchers is also proposed to be held at the end of the triennium in December 2023 to present preliminary results and discuss studies related to the platform. The principal investigators are also expected to visit the </w:t>
      </w:r>
      <w:proofErr w:type="spellStart"/>
      <w:r w:rsidRPr="007F40CC">
        <w:rPr>
          <w:rFonts w:asciiTheme="majorHAnsi" w:hAnsiTheme="majorHAnsi" w:cstheme="majorHAnsi"/>
          <w:lang w:val="en-US"/>
        </w:rPr>
        <w:t>Sírio-Libanês</w:t>
      </w:r>
      <w:proofErr w:type="spellEnd"/>
      <w:r w:rsidRPr="007F40CC">
        <w:rPr>
          <w:rFonts w:asciiTheme="majorHAnsi" w:hAnsiTheme="majorHAnsi" w:cstheme="majorHAnsi"/>
          <w:lang w:val="en-US"/>
        </w:rPr>
        <w:t xml:space="preserve"> Hospital to present the preliminary results of the studies.</w:t>
      </w:r>
    </w:p>
    <w:p w14:paraId="766A6C6C" w14:textId="706E6AF2" w:rsidR="00E1378B" w:rsidRPr="007F40CC" w:rsidRDefault="00E1378B">
      <w:pPr>
        <w:rPr>
          <w:rFonts w:asciiTheme="majorHAnsi" w:hAnsiTheme="majorHAnsi" w:cstheme="majorHAnsi"/>
          <w:highlight w:val="white"/>
          <w:lang w:val="en-US"/>
        </w:rPr>
      </w:pPr>
      <w:r w:rsidRPr="007F40CC">
        <w:rPr>
          <w:rFonts w:asciiTheme="majorHAnsi" w:hAnsiTheme="majorHAnsi" w:cstheme="majorHAnsi"/>
          <w:highlight w:val="white"/>
          <w:lang w:val="en-US"/>
        </w:rPr>
        <w:br w:type="page"/>
      </w:r>
    </w:p>
    <w:p w14:paraId="6BCE74F3" w14:textId="420ACCC1" w:rsidR="00A636C3" w:rsidRPr="00412E44" w:rsidRDefault="007F40CC">
      <w:pPr>
        <w:numPr>
          <w:ilvl w:val="0"/>
          <w:numId w:val="12"/>
        </w:numPr>
        <w:spacing w:after="160" w:line="360" w:lineRule="auto"/>
        <w:jc w:val="both"/>
        <w:rPr>
          <w:rFonts w:asciiTheme="majorHAnsi" w:hAnsiTheme="majorHAnsi" w:cstheme="majorHAnsi"/>
          <w:b/>
        </w:rPr>
      </w:pPr>
      <w:r>
        <w:rPr>
          <w:rFonts w:asciiTheme="majorHAnsi" w:hAnsiTheme="majorHAnsi" w:cstheme="majorHAnsi"/>
          <w:b/>
        </w:rPr>
        <w:lastRenderedPageBreak/>
        <w:t>REFERENCES</w:t>
      </w:r>
    </w:p>
    <w:p w14:paraId="54EEC811" w14:textId="3A74B229" w:rsidR="00CE57D8" w:rsidRPr="00412E44" w:rsidRDefault="00CE57D8" w:rsidP="00161B82">
      <w:pPr>
        <w:spacing w:before="240" w:after="240" w:line="240" w:lineRule="auto"/>
        <w:jc w:val="both"/>
        <w:rPr>
          <w:rFonts w:asciiTheme="majorHAnsi" w:hAnsiTheme="majorHAnsi" w:cstheme="majorHAnsi"/>
        </w:rPr>
      </w:pPr>
      <w:r w:rsidRPr="00412E44">
        <w:rPr>
          <w:rFonts w:asciiTheme="majorHAnsi" w:hAnsiTheme="majorHAnsi" w:cstheme="majorHAnsi"/>
          <w:lang w:val="pt-BR"/>
        </w:rPr>
        <w:t xml:space="preserve">Antoniuk, SA &amp; Schwind, MR. Crisis no epilépticas en la infancia y adolescencia. </w:t>
      </w:r>
      <w:r w:rsidRPr="00412E44">
        <w:rPr>
          <w:rFonts w:asciiTheme="majorHAnsi" w:hAnsiTheme="majorHAnsi" w:cstheme="majorHAnsi"/>
        </w:rPr>
        <w:t>MEDICINA (Buenos Aires),2013; 73.</w:t>
      </w:r>
    </w:p>
    <w:p w14:paraId="6A698915" w14:textId="28C04116" w:rsidR="00A636C3" w:rsidRPr="00412E44" w:rsidRDefault="00DA6D78" w:rsidP="00161B82">
      <w:pPr>
        <w:spacing w:before="240" w:after="240" w:line="240" w:lineRule="auto"/>
        <w:jc w:val="both"/>
        <w:rPr>
          <w:rFonts w:asciiTheme="majorHAnsi" w:hAnsiTheme="majorHAnsi" w:cstheme="majorHAnsi"/>
        </w:rPr>
      </w:pPr>
      <w:proofErr w:type="spellStart"/>
      <w:r w:rsidRPr="00412E44">
        <w:rPr>
          <w:rFonts w:asciiTheme="majorHAnsi" w:hAnsiTheme="majorHAnsi" w:cstheme="majorHAnsi"/>
        </w:rPr>
        <w:t>Annegers</w:t>
      </w:r>
      <w:proofErr w:type="spellEnd"/>
      <w:r w:rsidRPr="00412E44">
        <w:rPr>
          <w:rFonts w:asciiTheme="majorHAnsi" w:hAnsiTheme="majorHAnsi" w:cstheme="majorHAnsi"/>
        </w:rPr>
        <w:t xml:space="preserve"> JF, Hauser WA, </w:t>
      </w:r>
      <w:proofErr w:type="spellStart"/>
      <w:r w:rsidRPr="00412E44">
        <w:rPr>
          <w:rFonts w:asciiTheme="majorHAnsi" w:hAnsiTheme="majorHAnsi" w:cstheme="majorHAnsi"/>
        </w:rPr>
        <w:t>Coan</w:t>
      </w:r>
      <w:proofErr w:type="spellEnd"/>
      <w:r w:rsidRPr="00412E44">
        <w:rPr>
          <w:rFonts w:asciiTheme="majorHAnsi" w:hAnsiTheme="majorHAnsi" w:cstheme="majorHAnsi"/>
        </w:rPr>
        <w:t xml:space="preserve"> SP, Rocca WA. ‘A Population-Based Study of Seizures after Traumatic Brain Injuries. N England J of Med. 1998;338(1):20-4.</w:t>
      </w:r>
    </w:p>
    <w:p w14:paraId="728DADD9" w14:textId="37040D00" w:rsidR="007A513B" w:rsidRPr="00412E44" w:rsidRDefault="007A513B" w:rsidP="00161B82">
      <w:pPr>
        <w:spacing w:before="240" w:after="240" w:line="240" w:lineRule="auto"/>
        <w:jc w:val="both"/>
        <w:rPr>
          <w:rFonts w:asciiTheme="majorHAnsi" w:hAnsiTheme="majorHAnsi" w:cstheme="majorHAnsi"/>
        </w:rPr>
      </w:pPr>
      <w:proofErr w:type="spellStart"/>
      <w:r w:rsidRPr="00412E44">
        <w:rPr>
          <w:rFonts w:asciiTheme="majorHAnsi" w:hAnsiTheme="majorHAnsi" w:cstheme="majorHAnsi"/>
        </w:rPr>
        <w:t>Aronstam</w:t>
      </w:r>
      <w:proofErr w:type="spellEnd"/>
      <w:r w:rsidRPr="00412E44">
        <w:rPr>
          <w:rFonts w:asciiTheme="majorHAnsi" w:hAnsiTheme="majorHAnsi" w:cstheme="majorHAnsi"/>
        </w:rPr>
        <w:t>, RS &amp; Patil, P. Muscarinic Receptors: Autonomic Neurons, Encyclopedia of Neuroscience, Academic Press,2009;</w:t>
      </w:r>
      <w:r w:rsidR="005C3C30" w:rsidRPr="00412E44">
        <w:rPr>
          <w:rFonts w:asciiTheme="majorHAnsi" w:hAnsiTheme="majorHAnsi" w:cstheme="majorHAnsi"/>
        </w:rPr>
        <w:t xml:space="preserve"> </w:t>
      </w:r>
      <w:r w:rsidRPr="00412E44">
        <w:rPr>
          <w:rFonts w:asciiTheme="majorHAnsi" w:hAnsiTheme="majorHAnsi" w:cstheme="majorHAnsi"/>
        </w:rPr>
        <w:t>1141-1149, ISBN 9780080450469, https://doi.org/10.1016/B978-008045046-9.00692-6.</w:t>
      </w:r>
    </w:p>
    <w:p w14:paraId="6DBCDFBD" w14:textId="77777777" w:rsidR="00A636C3" w:rsidRPr="00412E44" w:rsidRDefault="00DA6D78" w:rsidP="00161B82">
      <w:pPr>
        <w:spacing w:before="240" w:after="240" w:line="240" w:lineRule="auto"/>
        <w:jc w:val="both"/>
        <w:rPr>
          <w:rFonts w:asciiTheme="majorHAnsi" w:hAnsiTheme="majorHAnsi" w:cstheme="majorHAnsi"/>
          <w:lang w:val="pt-BR"/>
        </w:rPr>
      </w:pPr>
      <w:proofErr w:type="spellStart"/>
      <w:r w:rsidRPr="00412E44">
        <w:rPr>
          <w:rFonts w:asciiTheme="majorHAnsi" w:hAnsiTheme="majorHAnsi" w:cstheme="majorHAnsi"/>
        </w:rPr>
        <w:t>Asikainen</w:t>
      </w:r>
      <w:proofErr w:type="spellEnd"/>
      <w:r w:rsidRPr="00412E44">
        <w:rPr>
          <w:rFonts w:asciiTheme="majorHAnsi" w:hAnsiTheme="majorHAnsi" w:cstheme="majorHAnsi"/>
        </w:rPr>
        <w:t xml:space="preserve"> I </w:t>
      </w:r>
      <w:proofErr w:type="spellStart"/>
      <w:r w:rsidRPr="00412E44">
        <w:rPr>
          <w:rFonts w:asciiTheme="majorHAnsi" w:hAnsiTheme="majorHAnsi" w:cstheme="majorHAnsi"/>
        </w:rPr>
        <w:t>Kaste</w:t>
      </w:r>
      <w:proofErr w:type="spellEnd"/>
      <w:r w:rsidRPr="00412E44">
        <w:rPr>
          <w:rFonts w:asciiTheme="majorHAnsi" w:hAnsiTheme="majorHAnsi" w:cstheme="majorHAnsi"/>
        </w:rPr>
        <w:t xml:space="preserve">, M., Sarna, S. Early and late posttraumatic seizures in traumatic brain injury rehabilitation patients: brain injury factors causing late seizures and influence of seizures on long-term outcome. </w:t>
      </w:r>
      <w:r w:rsidRPr="00412E44">
        <w:rPr>
          <w:rFonts w:asciiTheme="majorHAnsi" w:hAnsiTheme="majorHAnsi" w:cstheme="majorHAnsi"/>
          <w:lang w:val="pt-BR"/>
        </w:rPr>
        <w:t xml:space="preserve">Epilepsia. 1999;40(5):584-9.  </w:t>
      </w:r>
    </w:p>
    <w:p w14:paraId="6B80DA78" w14:textId="77777777" w:rsidR="00443DD1"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lang w:val="pt-BR"/>
        </w:rPr>
        <w:t xml:space="preserve">Anvisa. MANUAL PARA NOTIFICAÇÃO DE EVENTOS ADVERSOS E MONITORAMENTO DE SEGURANÇA EM ENSAIOS CLÍNICOS - 1a. edição. 2016. Disponível em: </w:t>
      </w:r>
      <w:hyperlink r:id="rId11">
        <w:r w:rsidRPr="00412E44">
          <w:rPr>
            <w:rFonts w:asciiTheme="majorHAnsi" w:hAnsiTheme="majorHAnsi" w:cstheme="majorHAnsi"/>
            <w:color w:val="1155CC"/>
            <w:u w:val="single"/>
            <w:lang w:val="pt-BR"/>
          </w:rPr>
          <w:t>http://portal.anvisa.gov.br/documents/33836/2492465/Manual+para+Notifica%C3%A7%C3%A3o+de+Eventos+Adversos+e+Monitoramento+de+Seguran%C3%A7a+em+Ensaios+Cl%C3%ADnicos+-+1%C2%AA+Edi%C3%A7%C3%A3o/04a68574-8aac-43c9-b0b2-7b7cd80831c4</w:t>
        </w:r>
      </w:hyperlink>
      <w:r w:rsidRPr="00412E44">
        <w:rPr>
          <w:rFonts w:asciiTheme="majorHAnsi" w:hAnsiTheme="majorHAnsi" w:cstheme="majorHAnsi"/>
          <w:lang w:val="pt-BR"/>
        </w:rPr>
        <w:t>. Acessado em 5 de novembro de 2019.</w:t>
      </w:r>
    </w:p>
    <w:p w14:paraId="01E05232" w14:textId="1B6B5892" w:rsidR="00A636C3" w:rsidRDefault="00443DD1" w:rsidP="00161B82">
      <w:pPr>
        <w:spacing w:before="240" w:after="240" w:line="240" w:lineRule="auto"/>
        <w:jc w:val="both"/>
        <w:rPr>
          <w:rFonts w:asciiTheme="majorHAnsi" w:hAnsiTheme="majorHAnsi" w:cstheme="majorHAnsi"/>
        </w:rPr>
      </w:pPr>
      <w:r w:rsidRPr="00412E44">
        <w:rPr>
          <w:rFonts w:asciiTheme="majorHAnsi" w:hAnsiTheme="majorHAnsi" w:cstheme="majorHAnsi"/>
          <w:color w:val="222222"/>
          <w:shd w:val="clear" w:color="auto" w:fill="FFFFFF"/>
          <w:lang w:val="pt-BR"/>
        </w:rPr>
        <w:t xml:space="preserve">Brady, RD., Casillas-Espinosa, PM., Agoston, DV., Bertram, EH., Kamnaksh, A., Semple, BD., &amp; Shultz, SR. </w:t>
      </w:r>
      <w:r w:rsidRPr="00412E44">
        <w:rPr>
          <w:rFonts w:asciiTheme="majorHAnsi" w:hAnsiTheme="majorHAnsi" w:cstheme="majorHAnsi"/>
          <w:color w:val="222222"/>
          <w:shd w:val="clear" w:color="auto" w:fill="FFFFFF"/>
        </w:rPr>
        <w:t>Modelling traumatic brain injury and posttraumatic epilepsy in rodents. </w:t>
      </w:r>
      <w:r w:rsidRPr="00412E44">
        <w:rPr>
          <w:rFonts w:asciiTheme="majorHAnsi" w:hAnsiTheme="majorHAnsi" w:cstheme="majorHAnsi"/>
          <w:iCs/>
          <w:color w:val="222222"/>
          <w:shd w:val="clear" w:color="auto" w:fill="FFFFFF"/>
        </w:rPr>
        <w:t>Neurobiology of disease</w:t>
      </w:r>
      <w:r w:rsidRPr="00412E44">
        <w:rPr>
          <w:rFonts w:asciiTheme="majorHAnsi" w:hAnsiTheme="majorHAnsi" w:cstheme="majorHAnsi"/>
          <w:color w:val="222222"/>
          <w:shd w:val="clear" w:color="auto" w:fill="FFFFFF"/>
        </w:rPr>
        <w:t xml:space="preserve">, 2019; </w:t>
      </w:r>
      <w:r w:rsidRPr="00412E44">
        <w:rPr>
          <w:rFonts w:asciiTheme="majorHAnsi" w:hAnsiTheme="majorHAnsi" w:cstheme="majorHAnsi"/>
          <w:i/>
          <w:iCs/>
          <w:color w:val="222222"/>
          <w:shd w:val="clear" w:color="auto" w:fill="FFFFFF"/>
        </w:rPr>
        <w:t>123</w:t>
      </w:r>
      <w:r w:rsidRPr="00412E44">
        <w:rPr>
          <w:rFonts w:asciiTheme="majorHAnsi" w:hAnsiTheme="majorHAnsi" w:cstheme="majorHAnsi"/>
          <w:color w:val="222222"/>
          <w:shd w:val="clear" w:color="auto" w:fill="FFFFFF"/>
        </w:rPr>
        <w:t>, 8-19.</w:t>
      </w:r>
      <w:r w:rsidR="00DA6D78" w:rsidRPr="00412E44">
        <w:rPr>
          <w:rFonts w:asciiTheme="majorHAnsi" w:hAnsiTheme="majorHAnsi" w:cstheme="majorHAnsi"/>
        </w:rPr>
        <w:t xml:space="preserve"> </w:t>
      </w:r>
    </w:p>
    <w:p w14:paraId="003198F5" w14:textId="14226E54" w:rsidR="004E5BA3" w:rsidRPr="00412E44" w:rsidRDefault="004E5BA3" w:rsidP="00161B82">
      <w:pPr>
        <w:spacing w:before="240" w:after="240" w:line="240" w:lineRule="auto"/>
        <w:jc w:val="both"/>
        <w:rPr>
          <w:rFonts w:asciiTheme="majorHAnsi" w:hAnsiTheme="majorHAnsi" w:cstheme="majorHAnsi"/>
        </w:rPr>
      </w:pPr>
      <w:r w:rsidRPr="00905271">
        <w:rPr>
          <w:rFonts w:asciiTheme="majorHAnsi" w:hAnsiTheme="majorHAnsi" w:cstheme="majorHAnsi"/>
          <w:lang w:val="pt-BR"/>
        </w:rPr>
        <w:t xml:space="preserve">Benassi SK, Alves JGSM, Guidoreni CG, Massant CG, Queiroz CM, Garrido-Sanabria E, Loduca RDS, Susemihl MA, Paiva WS, de Andrade AF, Teixeira MJ, Andrade JQ, Garzon E, Foresti ML, Mello LE. </w:t>
      </w:r>
      <w:r w:rsidRPr="004E5BA3">
        <w:rPr>
          <w:rFonts w:asciiTheme="majorHAnsi" w:hAnsiTheme="majorHAnsi" w:cstheme="majorHAnsi"/>
        </w:rPr>
        <w:t xml:space="preserve">Two decades of research towards a potential first anti-epileptic drug. Seizure. 2021 Mar 3:S1059-1311(21)00065-0. </w:t>
      </w:r>
    </w:p>
    <w:p w14:paraId="574E2EBA" w14:textId="64CEAC48" w:rsidR="004E5BA3" w:rsidRPr="00412E44" w:rsidRDefault="00DA6D78" w:rsidP="00161B82">
      <w:pPr>
        <w:spacing w:before="240" w:after="240" w:line="240" w:lineRule="auto"/>
        <w:jc w:val="both"/>
        <w:rPr>
          <w:rFonts w:asciiTheme="majorHAnsi" w:hAnsiTheme="majorHAnsi" w:cstheme="majorHAnsi"/>
          <w:lang w:val="pt-BR"/>
        </w:rPr>
      </w:pPr>
      <w:proofErr w:type="spellStart"/>
      <w:r w:rsidRPr="00412E44">
        <w:rPr>
          <w:rFonts w:asciiTheme="majorHAnsi" w:hAnsiTheme="majorHAnsi" w:cstheme="majorHAnsi"/>
        </w:rPr>
        <w:t>Bittencourt</w:t>
      </w:r>
      <w:proofErr w:type="spellEnd"/>
      <w:r w:rsidRPr="00412E44">
        <w:rPr>
          <w:rFonts w:asciiTheme="majorHAnsi" w:hAnsiTheme="majorHAnsi" w:cstheme="majorHAnsi"/>
        </w:rPr>
        <w:t xml:space="preserve"> S, </w:t>
      </w:r>
      <w:proofErr w:type="spellStart"/>
      <w:r w:rsidRPr="00412E44">
        <w:rPr>
          <w:rFonts w:asciiTheme="majorHAnsi" w:hAnsiTheme="majorHAnsi" w:cstheme="majorHAnsi"/>
        </w:rPr>
        <w:t>Ferrazoli</w:t>
      </w:r>
      <w:proofErr w:type="spellEnd"/>
      <w:r w:rsidRPr="00412E44">
        <w:rPr>
          <w:rFonts w:asciiTheme="majorHAnsi" w:hAnsiTheme="majorHAnsi" w:cstheme="majorHAnsi"/>
        </w:rPr>
        <w:t xml:space="preserve"> E, Valente MF, et al. Modification of the natural progression of epileptogenesis by means of biperiden in the pilocarpine model of epilepsy. </w:t>
      </w:r>
      <w:r w:rsidRPr="00412E44">
        <w:rPr>
          <w:rFonts w:asciiTheme="majorHAnsi" w:hAnsiTheme="majorHAnsi" w:cstheme="majorHAnsi"/>
          <w:lang w:val="pt-BR"/>
        </w:rPr>
        <w:t xml:space="preserve">Epilepsy Research. </w:t>
      </w:r>
      <w:r w:rsidR="00E805EC" w:rsidRPr="00412E44">
        <w:rPr>
          <w:rFonts w:asciiTheme="majorHAnsi" w:hAnsiTheme="majorHAnsi" w:cstheme="majorHAnsi"/>
          <w:lang w:val="pt-BR"/>
        </w:rPr>
        <w:t>2017; 138:88</w:t>
      </w:r>
      <w:r w:rsidRPr="00412E44">
        <w:rPr>
          <w:rFonts w:asciiTheme="majorHAnsi" w:hAnsiTheme="majorHAnsi" w:cstheme="majorHAnsi"/>
          <w:lang w:val="pt-BR"/>
        </w:rPr>
        <w:t xml:space="preserve">-97.  </w:t>
      </w:r>
    </w:p>
    <w:p w14:paraId="33CA9B7F" w14:textId="77777777" w:rsidR="00A636C3"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lang w:val="pt-BR"/>
        </w:rPr>
        <w:t xml:space="preserve">Comissão Nacional de Ética em Pesquisa (CONEP). Resolução no. 466, de 12 de dezembro de 2012. Disponível em: </w:t>
      </w:r>
      <w:hyperlink r:id="rId12">
        <w:r w:rsidRPr="00412E44">
          <w:rPr>
            <w:rFonts w:asciiTheme="majorHAnsi" w:hAnsiTheme="majorHAnsi" w:cstheme="majorHAnsi"/>
            <w:color w:val="1155CC"/>
            <w:u w:val="single"/>
            <w:lang w:val="pt-BR"/>
          </w:rPr>
          <w:t>https://conselho.saude.gov.br/resolucoes/2012/Reso466.pdf</w:t>
        </w:r>
      </w:hyperlink>
      <w:r w:rsidRPr="00412E44">
        <w:rPr>
          <w:rFonts w:asciiTheme="majorHAnsi" w:hAnsiTheme="majorHAnsi" w:cstheme="majorHAnsi"/>
          <w:lang w:val="pt-BR"/>
        </w:rPr>
        <w:t>. Acessado em 25 de outubro de 2019.</w:t>
      </w:r>
    </w:p>
    <w:p w14:paraId="7EBC21C3" w14:textId="77777777" w:rsidR="00A636C3"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lang w:val="pt-BR"/>
        </w:rPr>
        <w:t>D’Ambrosio R, Perucca E. Epilepsy after head injury. Current Opinion in Neurology. 2004;17(6):731-5.</w:t>
      </w:r>
    </w:p>
    <w:p w14:paraId="126832C0" w14:textId="77777777" w:rsidR="00A636C3"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lang w:val="pt-BR"/>
        </w:rPr>
        <w:t xml:space="preserve">da Silva AM, Vaz AR, Ribeiro I, Melo AR, Nune B, Correia M. Controversies in posttraumatic epilepsy'. Acta Neurochir Suppl (Wien).1990; 50:48-51. </w:t>
      </w:r>
    </w:p>
    <w:p w14:paraId="426F9B6F" w14:textId="1A6C2F62"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lang w:val="pt-BR"/>
        </w:rPr>
        <w:t xml:space="preserve">de Almeida CE, de Sousa Filho JL, Dourado JC, Gontijo PA, Dellaretti MA, Costa BS. </w:t>
      </w:r>
      <w:r w:rsidRPr="00412E44">
        <w:rPr>
          <w:rFonts w:asciiTheme="majorHAnsi" w:hAnsiTheme="majorHAnsi" w:cstheme="majorHAnsi"/>
        </w:rPr>
        <w:t xml:space="preserve">Traumatic Brain Injury Epidemiology in </w:t>
      </w:r>
      <w:r w:rsidR="00E805EC" w:rsidRPr="00412E44">
        <w:rPr>
          <w:rFonts w:asciiTheme="majorHAnsi" w:hAnsiTheme="majorHAnsi" w:cstheme="majorHAnsi"/>
        </w:rPr>
        <w:t>Brazil. World</w:t>
      </w:r>
      <w:r w:rsidRPr="00412E44">
        <w:rPr>
          <w:rFonts w:asciiTheme="majorHAnsi" w:hAnsiTheme="majorHAnsi" w:cstheme="majorHAnsi"/>
        </w:rPr>
        <w:t xml:space="preserve"> </w:t>
      </w:r>
      <w:proofErr w:type="spellStart"/>
      <w:r w:rsidRPr="00412E44">
        <w:rPr>
          <w:rFonts w:asciiTheme="majorHAnsi" w:hAnsiTheme="majorHAnsi" w:cstheme="majorHAnsi"/>
        </w:rPr>
        <w:t>Neurosurg</w:t>
      </w:r>
      <w:proofErr w:type="spellEnd"/>
      <w:r w:rsidRPr="00412E44">
        <w:rPr>
          <w:rFonts w:asciiTheme="majorHAnsi" w:hAnsiTheme="majorHAnsi" w:cstheme="majorHAnsi"/>
        </w:rPr>
        <w:t xml:space="preserve">. 2016; 87:540-7.  </w:t>
      </w:r>
    </w:p>
    <w:p w14:paraId="4EAAC731" w14:textId="436293F9" w:rsidR="00A636C3" w:rsidRPr="00412E44" w:rsidRDefault="00DA6D78" w:rsidP="00161B82">
      <w:pPr>
        <w:spacing w:before="240" w:after="240" w:line="240" w:lineRule="auto"/>
        <w:jc w:val="both"/>
        <w:rPr>
          <w:rFonts w:asciiTheme="majorHAnsi" w:hAnsiTheme="majorHAnsi" w:cstheme="majorHAnsi"/>
          <w:highlight w:val="white"/>
        </w:rPr>
      </w:pPr>
      <w:r w:rsidRPr="00412E44">
        <w:rPr>
          <w:rFonts w:asciiTheme="majorHAnsi" w:hAnsiTheme="majorHAnsi" w:cstheme="majorHAnsi"/>
          <w:highlight w:val="white"/>
        </w:rPr>
        <w:t xml:space="preserve">DeVito NJ, Goldacre B. Catalogue of bias: publication bias. BMJ Evidence-Based Medicine. </w:t>
      </w:r>
      <w:r w:rsidR="00E805EC" w:rsidRPr="00412E44">
        <w:rPr>
          <w:rFonts w:asciiTheme="majorHAnsi" w:hAnsiTheme="majorHAnsi" w:cstheme="majorHAnsi"/>
          <w:highlight w:val="white"/>
        </w:rPr>
        <w:t>2019; 24:53</w:t>
      </w:r>
      <w:r w:rsidRPr="00412E44">
        <w:rPr>
          <w:rFonts w:asciiTheme="majorHAnsi" w:hAnsiTheme="majorHAnsi" w:cstheme="majorHAnsi"/>
          <w:highlight w:val="white"/>
        </w:rPr>
        <w:t>-5.</w:t>
      </w:r>
    </w:p>
    <w:p w14:paraId="08A882CA" w14:textId="77777777" w:rsidR="00A636C3" w:rsidRPr="00412E44" w:rsidRDefault="00000000" w:rsidP="00161B82">
      <w:pPr>
        <w:spacing w:before="240" w:after="240" w:line="240" w:lineRule="auto"/>
        <w:jc w:val="both"/>
        <w:rPr>
          <w:rFonts w:asciiTheme="majorHAnsi" w:hAnsiTheme="majorHAnsi" w:cstheme="majorHAnsi"/>
          <w:highlight w:val="white"/>
        </w:rPr>
      </w:pPr>
      <w:hyperlink r:id="rId13">
        <w:r w:rsidR="00DA6D78" w:rsidRPr="00412E44">
          <w:rPr>
            <w:rFonts w:asciiTheme="majorHAnsi" w:hAnsiTheme="majorHAnsi" w:cstheme="majorHAnsi"/>
            <w:highlight w:val="white"/>
          </w:rPr>
          <w:t>Drummond</w:t>
        </w:r>
      </w:hyperlink>
      <w:r w:rsidR="00DA6D78" w:rsidRPr="00412E44">
        <w:rPr>
          <w:rFonts w:asciiTheme="majorHAnsi" w:hAnsiTheme="majorHAnsi" w:cstheme="majorHAnsi"/>
          <w:highlight w:val="white"/>
        </w:rPr>
        <w:t xml:space="preserve"> MF, </w:t>
      </w:r>
      <w:hyperlink r:id="rId14">
        <w:proofErr w:type="spellStart"/>
        <w:r w:rsidR="00DA6D78" w:rsidRPr="00412E44">
          <w:rPr>
            <w:rFonts w:asciiTheme="majorHAnsi" w:hAnsiTheme="majorHAnsi" w:cstheme="majorHAnsi"/>
            <w:highlight w:val="white"/>
          </w:rPr>
          <w:t>Sculpher</w:t>
        </w:r>
        <w:proofErr w:type="spellEnd"/>
      </w:hyperlink>
      <w:r w:rsidR="00DA6D78" w:rsidRPr="00412E44">
        <w:rPr>
          <w:rFonts w:asciiTheme="majorHAnsi" w:hAnsiTheme="majorHAnsi" w:cstheme="majorHAnsi"/>
          <w:highlight w:val="white"/>
        </w:rPr>
        <w:t xml:space="preserve"> MJ, </w:t>
      </w:r>
      <w:hyperlink r:id="rId15">
        <w:r w:rsidR="00DA6D78" w:rsidRPr="00412E44">
          <w:rPr>
            <w:rFonts w:asciiTheme="majorHAnsi" w:hAnsiTheme="majorHAnsi" w:cstheme="majorHAnsi"/>
            <w:highlight w:val="white"/>
          </w:rPr>
          <w:t>Torrance</w:t>
        </w:r>
      </w:hyperlink>
      <w:r w:rsidR="00DA6D78" w:rsidRPr="00412E44">
        <w:rPr>
          <w:rFonts w:asciiTheme="majorHAnsi" w:hAnsiTheme="majorHAnsi" w:cstheme="majorHAnsi"/>
          <w:highlight w:val="white"/>
        </w:rPr>
        <w:t xml:space="preserve"> GW. Methods for the Economic Evaluation of Health Care </w:t>
      </w:r>
      <w:proofErr w:type="spellStart"/>
      <w:r w:rsidR="00DA6D78" w:rsidRPr="00412E44">
        <w:rPr>
          <w:rFonts w:asciiTheme="majorHAnsi" w:hAnsiTheme="majorHAnsi" w:cstheme="majorHAnsi"/>
          <w:highlight w:val="white"/>
        </w:rPr>
        <w:t>Programmes</w:t>
      </w:r>
      <w:proofErr w:type="spellEnd"/>
      <w:r w:rsidR="00DA6D78" w:rsidRPr="00412E44">
        <w:rPr>
          <w:rFonts w:asciiTheme="majorHAnsi" w:hAnsiTheme="majorHAnsi" w:cstheme="majorHAnsi"/>
          <w:highlight w:val="white"/>
        </w:rPr>
        <w:t xml:space="preserve">. Oxford University Press, USA; 3a. </w:t>
      </w:r>
      <w:proofErr w:type="spellStart"/>
      <w:r w:rsidR="00DA6D78" w:rsidRPr="00412E44">
        <w:rPr>
          <w:rFonts w:asciiTheme="majorHAnsi" w:hAnsiTheme="majorHAnsi" w:cstheme="majorHAnsi"/>
          <w:highlight w:val="white"/>
        </w:rPr>
        <w:t>Edição</w:t>
      </w:r>
      <w:proofErr w:type="spellEnd"/>
      <w:r w:rsidR="00DA6D78" w:rsidRPr="00412E44">
        <w:rPr>
          <w:rFonts w:asciiTheme="majorHAnsi" w:hAnsiTheme="majorHAnsi" w:cstheme="majorHAnsi"/>
          <w:highlight w:val="white"/>
        </w:rPr>
        <w:t>: 2006.</w:t>
      </w:r>
    </w:p>
    <w:p w14:paraId="43AE26A5" w14:textId="77777777" w:rsidR="00A636C3" w:rsidRPr="00412E44" w:rsidRDefault="00DA6D78" w:rsidP="00161B82">
      <w:pPr>
        <w:spacing w:before="240" w:after="240" w:line="240" w:lineRule="auto"/>
        <w:jc w:val="both"/>
        <w:rPr>
          <w:rFonts w:asciiTheme="majorHAnsi" w:hAnsiTheme="majorHAnsi" w:cstheme="majorHAnsi"/>
          <w:highlight w:val="white"/>
        </w:rPr>
      </w:pPr>
      <w:r w:rsidRPr="00412E44">
        <w:rPr>
          <w:rFonts w:asciiTheme="majorHAnsi" w:hAnsiTheme="majorHAnsi" w:cstheme="majorHAnsi"/>
          <w:highlight w:val="white"/>
        </w:rPr>
        <w:t xml:space="preserve">Englander J, </w:t>
      </w:r>
      <w:proofErr w:type="spellStart"/>
      <w:r w:rsidRPr="00412E44">
        <w:rPr>
          <w:rFonts w:asciiTheme="majorHAnsi" w:hAnsiTheme="majorHAnsi" w:cstheme="majorHAnsi"/>
          <w:highlight w:val="white"/>
        </w:rPr>
        <w:t>Bushnik</w:t>
      </w:r>
      <w:proofErr w:type="spellEnd"/>
      <w:r w:rsidRPr="00412E44">
        <w:rPr>
          <w:rFonts w:asciiTheme="majorHAnsi" w:hAnsiTheme="majorHAnsi" w:cstheme="majorHAnsi"/>
          <w:highlight w:val="white"/>
        </w:rPr>
        <w:t xml:space="preserve"> T, Duong T. Analyzing risk factors for late posttraumatic seizures: a prospective multicenter investigation. Arch Phys Med Rehabil.2003;84:365-73. </w:t>
      </w:r>
    </w:p>
    <w:p w14:paraId="0B0D68AD" w14:textId="77777777" w:rsidR="00A636C3" w:rsidRPr="00412E44" w:rsidRDefault="00DA6D78" w:rsidP="00161B82">
      <w:pPr>
        <w:spacing w:before="240" w:after="240" w:line="240" w:lineRule="auto"/>
        <w:jc w:val="both"/>
        <w:rPr>
          <w:rFonts w:asciiTheme="majorHAnsi" w:hAnsiTheme="majorHAnsi" w:cstheme="majorHAnsi"/>
          <w:highlight w:val="white"/>
        </w:rPr>
      </w:pPr>
      <w:r w:rsidRPr="00412E44">
        <w:rPr>
          <w:rFonts w:asciiTheme="majorHAnsi" w:hAnsiTheme="majorHAnsi" w:cstheme="majorHAnsi"/>
          <w:highlight w:val="white"/>
        </w:rPr>
        <w:t xml:space="preserve">European Medicines Agency (EMA). ICH </w:t>
      </w:r>
      <w:proofErr w:type="spellStart"/>
      <w:r w:rsidRPr="00412E44">
        <w:rPr>
          <w:rFonts w:asciiTheme="majorHAnsi" w:hAnsiTheme="majorHAnsi" w:cstheme="majorHAnsi"/>
          <w:highlight w:val="white"/>
        </w:rPr>
        <w:t>Harmonised</w:t>
      </w:r>
      <w:proofErr w:type="spellEnd"/>
      <w:r w:rsidRPr="00412E44">
        <w:rPr>
          <w:rFonts w:asciiTheme="majorHAnsi" w:hAnsiTheme="majorHAnsi" w:cstheme="majorHAnsi"/>
          <w:highlight w:val="white"/>
        </w:rPr>
        <w:t xml:space="preserve"> Tripartite Guideline E6: Note for Guidance on Good Clinical Practice (PMP/ICH/135/95) London: European Medicines Agency; 2002. </w:t>
      </w:r>
      <w:r w:rsidRPr="00412E44">
        <w:rPr>
          <w:rFonts w:asciiTheme="majorHAnsi" w:hAnsiTheme="majorHAnsi" w:cstheme="majorHAnsi"/>
          <w:highlight w:val="white"/>
          <w:lang w:val="pt-BR"/>
        </w:rPr>
        <w:t xml:space="preserve">Disponível em: </w:t>
      </w:r>
      <w:hyperlink r:id="rId16">
        <w:r w:rsidRPr="00412E44">
          <w:rPr>
            <w:rFonts w:asciiTheme="majorHAnsi" w:hAnsiTheme="majorHAnsi" w:cstheme="majorHAnsi"/>
            <w:color w:val="1155CC"/>
            <w:highlight w:val="white"/>
            <w:u w:val="single"/>
            <w:lang w:val="pt-BR"/>
          </w:rPr>
          <w:t>https://www.ema.europa.eu/en/ich-e6-r2-good-clinical-practice</w:t>
        </w:r>
      </w:hyperlink>
      <w:r w:rsidRPr="00412E44">
        <w:rPr>
          <w:rFonts w:asciiTheme="majorHAnsi" w:hAnsiTheme="majorHAnsi" w:cstheme="majorHAnsi"/>
          <w:color w:val="333333"/>
          <w:highlight w:val="white"/>
          <w:lang w:val="pt-BR"/>
        </w:rPr>
        <w:t xml:space="preserve">. </w:t>
      </w:r>
      <w:proofErr w:type="spellStart"/>
      <w:r w:rsidRPr="00412E44">
        <w:rPr>
          <w:rFonts w:asciiTheme="majorHAnsi" w:hAnsiTheme="majorHAnsi" w:cstheme="majorHAnsi"/>
          <w:highlight w:val="white"/>
        </w:rPr>
        <w:t>Acessado</w:t>
      </w:r>
      <w:proofErr w:type="spellEnd"/>
      <w:r w:rsidRPr="00412E44">
        <w:rPr>
          <w:rFonts w:asciiTheme="majorHAnsi" w:hAnsiTheme="majorHAnsi" w:cstheme="majorHAnsi"/>
          <w:highlight w:val="white"/>
        </w:rPr>
        <w:t xml:space="preserve"> </w:t>
      </w:r>
      <w:proofErr w:type="spellStart"/>
      <w:r w:rsidRPr="00412E44">
        <w:rPr>
          <w:rFonts w:asciiTheme="majorHAnsi" w:hAnsiTheme="majorHAnsi" w:cstheme="majorHAnsi"/>
          <w:highlight w:val="white"/>
        </w:rPr>
        <w:t>em</w:t>
      </w:r>
      <w:proofErr w:type="spellEnd"/>
      <w:r w:rsidRPr="00412E44">
        <w:rPr>
          <w:rFonts w:asciiTheme="majorHAnsi" w:hAnsiTheme="majorHAnsi" w:cstheme="majorHAnsi"/>
          <w:highlight w:val="white"/>
        </w:rPr>
        <w:t xml:space="preserve"> 24 de </w:t>
      </w:r>
      <w:proofErr w:type="spellStart"/>
      <w:r w:rsidRPr="00412E44">
        <w:rPr>
          <w:rFonts w:asciiTheme="majorHAnsi" w:hAnsiTheme="majorHAnsi" w:cstheme="majorHAnsi"/>
          <w:highlight w:val="white"/>
        </w:rPr>
        <w:t>outubro</w:t>
      </w:r>
      <w:proofErr w:type="spellEnd"/>
      <w:r w:rsidRPr="00412E44">
        <w:rPr>
          <w:rFonts w:asciiTheme="majorHAnsi" w:hAnsiTheme="majorHAnsi" w:cstheme="majorHAnsi"/>
          <w:highlight w:val="white"/>
        </w:rPr>
        <w:t xml:space="preserve"> de 2019. </w:t>
      </w:r>
    </w:p>
    <w:p w14:paraId="1C757B6F" w14:textId="77777777" w:rsidR="00A636C3" w:rsidRPr="00412E44" w:rsidRDefault="00DA6D78" w:rsidP="00161B82">
      <w:pPr>
        <w:spacing w:before="240" w:after="240" w:line="240" w:lineRule="auto"/>
        <w:jc w:val="both"/>
        <w:rPr>
          <w:rFonts w:asciiTheme="majorHAnsi" w:hAnsiTheme="majorHAnsi" w:cstheme="majorHAnsi"/>
          <w:highlight w:val="white"/>
        </w:rPr>
      </w:pPr>
      <w:proofErr w:type="spellStart"/>
      <w:r w:rsidRPr="00412E44">
        <w:rPr>
          <w:rFonts w:asciiTheme="majorHAnsi" w:hAnsiTheme="majorHAnsi" w:cstheme="majorHAnsi"/>
          <w:highlight w:val="white"/>
        </w:rPr>
        <w:t>EuroQoL</w:t>
      </w:r>
      <w:proofErr w:type="spellEnd"/>
      <w:r w:rsidRPr="00412E44">
        <w:rPr>
          <w:rFonts w:asciiTheme="majorHAnsi" w:hAnsiTheme="majorHAnsi" w:cstheme="majorHAnsi"/>
          <w:highlight w:val="white"/>
        </w:rPr>
        <w:t xml:space="preserve"> Group 1990. </w:t>
      </w:r>
      <w:proofErr w:type="spellStart"/>
      <w:r w:rsidRPr="00412E44">
        <w:rPr>
          <w:rFonts w:asciiTheme="majorHAnsi" w:hAnsiTheme="majorHAnsi" w:cstheme="majorHAnsi"/>
          <w:highlight w:val="white"/>
        </w:rPr>
        <w:t>EuroQol</w:t>
      </w:r>
      <w:proofErr w:type="spellEnd"/>
      <w:r w:rsidRPr="00412E44">
        <w:rPr>
          <w:rFonts w:asciiTheme="majorHAnsi" w:hAnsiTheme="majorHAnsi" w:cstheme="majorHAnsi"/>
          <w:highlight w:val="white"/>
        </w:rPr>
        <w:t>--a new facility for the measurement of health-related quality of life Health Policy</w:t>
      </w:r>
      <w:hyperlink r:id="rId17">
        <w:r w:rsidRPr="00412E44">
          <w:rPr>
            <w:rFonts w:asciiTheme="majorHAnsi" w:hAnsiTheme="majorHAnsi" w:cstheme="majorHAnsi"/>
            <w:color w:val="660066"/>
            <w:highlight w:val="white"/>
          </w:rPr>
          <w:t>.</w:t>
        </w:r>
      </w:hyperlink>
      <w:r w:rsidRPr="00412E44">
        <w:rPr>
          <w:rFonts w:asciiTheme="majorHAnsi" w:hAnsiTheme="majorHAnsi" w:cstheme="majorHAnsi"/>
          <w:highlight w:val="white"/>
        </w:rPr>
        <w:t xml:space="preserve"> 1990;16(3):199-208.</w:t>
      </w:r>
    </w:p>
    <w:p w14:paraId="620D08D8" w14:textId="37D39B56" w:rsidR="00A636C3" w:rsidRPr="00412E44" w:rsidRDefault="00DA6D78" w:rsidP="00161B82">
      <w:pPr>
        <w:spacing w:before="240" w:after="240" w:line="240" w:lineRule="auto"/>
        <w:jc w:val="both"/>
        <w:rPr>
          <w:rFonts w:asciiTheme="majorHAnsi" w:hAnsiTheme="majorHAnsi" w:cstheme="majorHAnsi"/>
          <w:highlight w:val="white"/>
        </w:rPr>
      </w:pPr>
      <w:proofErr w:type="spellStart"/>
      <w:r w:rsidRPr="00412E44">
        <w:rPr>
          <w:rFonts w:asciiTheme="majorHAnsi" w:hAnsiTheme="majorHAnsi" w:cstheme="majorHAnsi"/>
          <w:highlight w:val="white"/>
        </w:rPr>
        <w:t>Faul</w:t>
      </w:r>
      <w:proofErr w:type="spellEnd"/>
      <w:r w:rsidRPr="00412E44">
        <w:rPr>
          <w:rFonts w:asciiTheme="majorHAnsi" w:hAnsiTheme="majorHAnsi" w:cstheme="majorHAnsi"/>
          <w:highlight w:val="white"/>
        </w:rPr>
        <w:t xml:space="preserve"> M, Coronado V. Epidemiology of traumatic brain injury. </w:t>
      </w:r>
      <w:proofErr w:type="spellStart"/>
      <w:r w:rsidRPr="00412E44">
        <w:rPr>
          <w:rFonts w:asciiTheme="majorHAnsi" w:hAnsiTheme="majorHAnsi" w:cstheme="majorHAnsi"/>
          <w:highlight w:val="white"/>
        </w:rPr>
        <w:t>Handb</w:t>
      </w:r>
      <w:proofErr w:type="spellEnd"/>
      <w:r w:rsidRPr="00412E44">
        <w:rPr>
          <w:rFonts w:asciiTheme="majorHAnsi" w:hAnsiTheme="majorHAnsi" w:cstheme="majorHAnsi"/>
          <w:highlight w:val="white"/>
        </w:rPr>
        <w:t xml:space="preserve"> Clin Neurol. </w:t>
      </w:r>
      <w:r w:rsidR="00E805EC" w:rsidRPr="00412E44">
        <w:rPr>
          <w:rFonts w:asciiTheme="majorHAnsi" w:hAnsiTheme="majorHAnsi" w:cstheme="majorHAnsi"/>
          <w:highlight w:val="white"/>
        </w:rPr>
        <w:t>2015; 127:313</w:t>
      </w:r>
      <w:r w:rsidRPr="00412E44">
        <w:rPr>
          <w:rFonts w:asciiTheme="majorHAnsi" w:hAnsiTheme="majorHAnsi" w:cstheme="majorHAnsi"/>
          <w:highlight w:val="white"/>
        </w:rPr>
        <w:t>.</w:t>
      </w:r>
    </w:p>
    <w:p w14:paraId="2919372A" w14:textId="77777777" w:rsidR="00A636C3" w:rsidRPr="004A2A17" w:rsidRDefault="00DA6D78" w:rsidP="00161B82">
      <w:pPr>
        <w:spacing w:before="240" w:after="240" w:line="240" w:lineRule="auto"/>
        <w:jc w:val="both"/>
        <w:rPr>
          <w:rFonts w:asciiTheme="majorHAnsi" w:hAnsiTheme="majorHAnsi" w:cstheme="majorHAnsi"/>
          <w:highlight w:val="white"/>
          <w:lang w:val="pt-BR"/>
        </w:rPr>
      </w:pPr>
      <w:r w:rsidRPr="00412E44">
        <w:rPr>
          <w:rFonts w:asciiTheme="majorHAnsi" w:hAnsiTheme="majorHAnsi" w:cstheme="majorHAnsi"/>
          <w:highlight w:val="white"/>
        </w:rPr>
        <w:t xml:space="preserve">French JA, White HS, </w:t>
      </w:r>
      <w:proofErr w:type="spellStart"/>
      <w:r w:rsidRPr="00412E44">
        <w:rPr>
          <w:rFonts w:asciiTheme="majorHAnsi" w:hAnsiTheme="majorHAnsi" w:cstheme="majorHAnsi"/>
          <w:highlight w:val="white"/>
        </w:rPr>
        <w:t>Klitgaard</w:t>
      </w:r>
      <w:proofErr w:type="spellEnd"/>
      <w:r w:rsidRPr="00412E44">
        <w:rPr>
          <w:rFonts w:asciiTheme="majorHAnsi" w:hAnsiTheme="majorHAnsi" w:cstheme="majorHAnsi"/>
          <w:highlight w:val="white"/>
        </w:rPr>
        <w:t xml:space="preserve"> H, </w:t>
      </w:r>
      <w:r w:rsidRPr="00412E44">
        <w:rPr>
          <w:rFonts w:asciiTheme="majorHAnsi" w:hAnsiTheme="majorHAnsi" w:cstheme="majorHAnsi"/>
          <w:i/>
          <w:highlight w:val="white"/>
        </w:rPr>
        <w:t>et al</w:t>
      </w:r>
      <w:r w:rsidRPr="00412E44">
        <w:rPr>
          <w:rFonts w:asciiTheme="majorHAnsi" w:hAnsiTheme="majorHAnsi" w:cstheme="majorHAnsi"/>
          <w:highlight w:val="white"/>
        </w:rPr>
        <w:t xml:space="preserve">. Development of new treatment approaches for epilepsy: Unmet needs and opportunities. </w:t>
      </w:r>
      <w:r w:rsidRPr="004A2A17">
        <w:rPr>
          <w:rFonts w:asciiTheme="majorHAnsi" w:hAnsiTheme="majorHAnsi" w:cstheme="majorHAnsi"/>
          <w:highlight w:val="white"/>
          <w:lang w:val="pt-BR"/>
        </w:rPr>
        <w:t>Epilepsia. 2013;54(Suppl4):3-12.</w:t>
      </w:r>
    </w:p>
    <w:p w14:paraId="476600ED" w14:textId="2CED815C" w:rsidR="00A636C3" w:rsidRPr="00412E44" w:rsidRDefault="00DA6D78" w:rsidP="00161B82">
      <w:pPr>
        <w:spacing w:before="240" w:after="240" w:line="240" w:lineRule="auto"/>
        <w:jc w:val="both"/>
        <w:rPr>
          <w:rFonts w:asciiTheme="majorHAnsi" w:hAnsiTheme="majorHAnsi" w:cstheme="majorHAnsi"/>
        </w:rPr>
      </w:pPr>
      <w:r w:rsidRPr="004A2A17">
        <w:rPr>
          <w:rFonts w:asciiTheme="majorHAnsi" w:hAnsiTheme="majorHAnsi" w:cstheme="majorHAnsi"/>
          <w:lang w:val="pt-BR"/>
        </w:rPr>
        <w:t xml:space="preserve">Gentile JKA, Himuro HS, Rojas SSA, </w:t>
      </w:r>
      <w:r w:rsidRPr="004A2A17">
        <w:rPr>
          <w:rFonts w:asciiTheme="majorHAnsi" w:hAnsiTheme="majorHAnsi" w:cstheme="majorHAnsi"/>
          <w:i/>
          <w:lang w:val="pt-BR"/>
        </w:rPr>
        <w:t xml:space="preserve">et </w:t>
      </w:r>
      <w:r w:rsidR="00E805EC" w:rsidRPr="004A2A17">
        <w:rPr>
          <w:rFonts w:asciiTheme="majorHAnsi" w:hAnsiTheme="majorHAnsi" w:cstheme="majorHAnsi"/>
          <w:i/>
          <w:lang w:val="pt-BR"/>
        </w:rPr>
        <w:t>al.</w:t>
      </w:r>
      <w:r w:rsidR="00E805EC" w:rsidRPr="004A2A17">
        <w:rPr>
          <w:rFonts w:asciiTheme="majorHAnsi" w:hAnsiTheme="majorHAnsi" w:cstheme="majorHAnsi"/>
          <w:lang w:val="pt-BR"/>
        </w:rPr>
        <w:t xml:space="preserve"> </w:t>
      </w:r>
      <w:r w:rsidR="00E805EC" w:rsidRPr="00412E44">
        <w:rPr>
          <w:rFonts w:asciiTheme="majorHAnsi" w:hAnsiTheme="majorHAnsi" w:cstheme="majorHAnsi"/>
          <w:lang w:val="pt-BR"/>
        </w:rPr>
        <w:t>Condutas</w:t>
      </w:r>
      <w:r w:rsidRPr="00412E44">
        <w:rPr>
          <w:rFonts w:asciiTheme="majorHAnsi" w:hAnsiTheme="majorHAnsi" w:cstheme="majorHAnsi"/>
          <w:lang w:val="pt-BR"/>
        </w:rPr>
        <w:t xml:space="preserve"> no paciente com trauma </w:t>
      </w:r>
      <w:r w:rsidR="00D71AA5">
        <w:rPr>
          <w:rFonts w:asciiTheme="majorHAnsi" w:hAnsiTheme="majorHAnsi" w:cstheme="majorHAnsi"/>
          <w:lang w:val="pt-BR"/>
        </w:rPr>
        <w:t>cranioencefálico</w:t>
      </w:r>
      <w:r w:rsidRPr="00412E44">
        <w:rPr>
          <w:rFonts w:asciiTheme="majorHAnsi" w:hAnsiTheme="majorHAnsi" w:cstheme="majorHAnsi"/>
          <w:lang w:val="pt-BR"/>
        </w:rPr>
        <w:t xml:space="preserve">. </w:t>
      </w:r>
      <w:r w:rsidRPr="004A2A17">
        <w:rPr>
          <w:rFonts w:asciiTheme="majorHAnsi" w:hAnsiTheme="majorHAnsi" w:cstheme="majorHAnsi"/>
          <w:lang w:val="en-GB"/>
        </w:rPr>
        <w:t xml:space="preserve">Rev Bras Clin Med. </w:t>
      </w:r>
      <w:r w:rsidRPr="00412E44">
        <w:rPr>
          <w:rFonts w:asciiTheme="majorHAnsi" w:hAnsiTheme="majorHAnsi" w:cstheme="majorHAnsi"/>
        </w:rPr>
        <w:t>São Paulo. 2011;9(1):74-82.</w:t>
      </w:r>
    </w:p>
    <w:p w14:paraId="2F3E668E" w14:textId="77777777"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 xml:space="preserve">Glick HA, Doshi JA, Sonnad SS, Polsky D. Economic Evaluation in Clinical Trials. </w:t>
      </w:r>
      <w:r w:rsidRPr="00412E44">
        <w:rPr>
          <w:rFonts w:asciiTheme="majorHAnsi" w:hAnsiTheme="majorHAnsi" w:cstheme="majorHAnsi"/>
          <w:highlight w:val="white"/>
        </w:rPr>
        <w:t xml:space="preserve">Oxford University Press, UK; 2a. </w:t>
      </w:r>
      <w:proofErr w:type="spellStart"/>
      <w:r w:rsidRPr="00412E44">
        <w:rPr>
          <w:rFonts w:asciiTheme="majorHAnsi" w:hAnsiTheme="majorHAnsi" w:cstheme="majorHAnsi"/>
          <w:highlight w:val="white"/>
        </w:rPr>
        <w:t>Edição</w:t>
      </w:r>
      <w:proofErr w:type="spellEnd"/>
      <w:r w:rsidRPr="00412E44">
        <w:rPr>
          <w:rFonts w:asciiTheme="majorHAnsi" w:hAnsiTheme="majorHAnsi" w:cstheme="majorHAnsi"/>
          <w:highlight w:val="white"/>
        </w:rPr>
        <w:t>: 2015.</w:t>
      </w:r>
    </w:p>
    <w:p w14:paraId="07F122FE" w14:textId="77777777" w:rsidR="00A636C3" w:rsidRPr="00412E44" w:rsidRDefault="00DA6D78" w:rsidP="00161B82">
      <w:pPr>
        <w:spacing w:before="240" w:after="240" w:line="240" w:lineRule="auto"/>
        <w:jc w:val="both"/>
        <w:rPr>
          <w:rFonts w:asciiTheme="majorHAnsi" w:hAnsiTheme="majorHAnsi" w:cstheme="majorHAnsi"/>
        </w:rPr>
      </w:pPr>
      <w:proofErr w:type="spellStart"/>
      <w:r w:rsidRPr="004A2A17">
        <w:rPr>
          <w:rFonts w:asciiTheme="majorHAnsi" w:hAnsiTheme="majorHAnsi" w:cstheme="majorHAnsi"/>
          <w:lang w:val="en-GB"/>
        </w:rPr>
        <w:t>Gorgati</w:t>
      </w:r>
      <w:proofErr w:type="spellEnd"/>
      <w:r w:rsidRPr="004A2A17">
        <w:rPr>
          <w:rFonts w:asciiTheme="majorHAnsi" w:hAnsiTheme="majorHAnsi" w:cstheme="majorHAnsi"/>
          <w:lang w:val="en-GB"/>
        </w:rPr>
        <w:t xml:space="preserve"> C, Mello LEAM. </w:t>
      </w:r>
      <w:r w:rsidRPr="00412E44">
        <w:rPr>
          <w:rFonts w:asciiTheme="majorHAnsi" w:hAnsiTheme="majorHAnsi" w:cstheme="majorHAnsi"/>
          <w:lang w:val="pt-BR"/>
        </w:rPr>
        <w:t xml:space="preserve">Caracterização dos efeitos antiepileptogênicos do biperideno em ratos no modelo da pilocarpina PhD thesis, Neurology Graduate Program. </w:t>
      </w:r>
      <w:proofErr w:type="spellStart"/>
      <w:r w:rsidRPr="00412E44">
        <w:rPr>
          <w:rFonts w:asciiTheme="majorHAnsi" w:hAnsiTheme="majorHAnsi" w:cstheme="majorHAnsi"/>
        </w:rPr>
        <w:t>Universidade</w:t>
      </w:r>
      <w:proofErr w:type="spellEnd"/>
      <w:r w:rsidRPr="00412E44">
        <w:rPr>
          <w:rFonts w:asciiTheme="majorHAnsi" w:hAnsiTheme="majorHAnsi" w:cstheme="majorHAnsi"/>
        </w:rPr>
        <w:t xml:space="preserve"> Federal de São Paulo. 2009.</w:t>
      </w:r>
    </w:p>
    <w:p w14:paraId="48D80FBD" w14:textId="42686D41"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 xml:space="preserve">Hauser WA, et al Prevalence of epilepsy in Rochester, Minnesota: 1940-1980'. </w:t>
      </w:r>
      <w:proofErr w:type="spellStart"/>
      <w:r w:rsidRPr="00412E44">
        <w:rPr>
          <w:rFonts w:asciiTheme="majorHAnsi" w:hAnsiTheme="majorHAnsi" w:cstheme="majorHAnsi"/>
        </w:rPr>
        <w:t>Epilepsia</w:t>
      </w:r>
      <w:proofErr w:type="spellEnd"/>
      <w:r w:rsidRPr="00412E44">
        <w:rPr>
          <w:rFonts w:asciiTheme="majorHAnsi" w:hAnsiTheme="majorHAnsi" w:cstheme="majorHAnsi"/>
        </w:rPr>
        <w:t xml:space="preserve">. </w:t>
      </w:r>
      <w:r w:rsidR="00E805EC" w:rsidRPr="00412E44">
        <w:rPr>
          <w:rFonts w:asciiTheme="majorHAnsi" w:hAnsiTheme="majorHAnsi" w:cstheme="majorHAnsi"/>
        </w:rPr>
        <w:t>1991; 32:429</w:t>
      </w:r>
      <w:r w:rsidRPr="00412E44">
        <w:rPr>
          <w:rFonts w:asciiTheme="majorHAnsi" w:hAnsiTheme="majorHAnsi" w:cstheme="majorHAnsi"/>
        </w:rPr>
        <w:t>-45.</w:t>
      </w:r>
    </w:p>
    <w:p w14:paraId="23E0989C" w14:textId="77777777" w:rsidR="00A636C3"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rPr>
        <w:t xml:space="preserve">Howick J, Chalmers I, </w:t>
      </w:r>
      <w:proofErr w:type="spellStart"/>
      <w:r w:rsidRPr="00412E44">
        <w:rPr>
          <w:rFonts w:asciiTheme="majorHAnsi" w:hAnsiTheme="majorHAnsi" w:cstheme="majorHAnsi"/>
        </w:rPr>
        <w:t>Glasziou</w:t>
      </w:r>
      <w:proofErr w:type="spellEnd"/>
      <w:r w:rsidRPr="00412E44">
        <w:rPr>
          <w:rFonts w:asciiTheme="majorHAnsi" w:hAnsiTheme="majorHAnsi" w:cstheme="majorHAnsi"/>
        </w:rPr>
        <w:t xml:space="preserve"> P, et al for the OCEBM Levels of Evidence Working Group*. “The Oxford Levels of Evidence 2”. 2011.Oxford Centre for Evidence-Based Medicine. </w:t>
      </w:r>
      <w:r w:rsidRPr="00412E44">
        <w:rPr>
          <w:rFonts w:asciiTheme="majorHAnsi" w:hAnsiTheme="majorHAnsi" w:cstheme="majorHAnsi"/>
          <w:lang w:val="pt-BR"/>
        </w:rPr>
        <w:t xml:space="preserve">Disponível em: </w:t>
      </w:r>
      <w:hyperlink r:id="rId18">
        <w:r w:rsidRPr="00412E44">
          <w:rPr>
            <w:rFonts w:asciiTheme="majorHAnsi" w:hAnsiTheme="majorHAnsi" w:cstheme="majorHAnsi"/>
            <w:color w:val="164781"/>
            <w:u w:val="single"/>
            <w:lang w:val="pt-BR"/>
          </w:rPr>
          <w:t>https://www.cebm.net/index.aspx?o=5653</w:t>
        </w:r>
      </w:hyperlink>
      <w:r w:rsidRPr="00412E44">
        <w:rPr>
          <w:rFonts w:asciiTheme="majorHAnsi" w:hAnsiTheme="majorHAnsi" w:cstheme="majorHAnsi"/>
          <w:lang w:val="pt-BR"/>
        </w:rPr>
        <w:t>. Acessado em 23 de outubro de 2019.</w:t>
      </w:r>
    </w:p>
    <w:p w14:paraId="7A4B4F11" w14:textId="77777777" w:rsidR="00A636C3" w:rsidRPr="00412E44" w:rsidRDefault="00000000" w:rsidP="00161B82">
      <w:pPr>
        <w:shd w:val="clear" w:color="auto" w:fill="FFFFFF"/>
        <w:spacing w:before="240" w:after="240" w:line="240" w:lineRule="auto"/>
        <w:jc w:val="both"/>
        <w:rPr>
          <w:rFonts w:asciiTheme="majorHAnsi" w:hAnsiTheme="majorHAnsi" w:cstheme="majorHAnsi"/>
        </w:rPr>
      </w:pPr>
      <w:hyperlink r:id="rId19">
        <w:proofErr w:type="spellStart"/>
        <w:r w:rsidR="00DA6D78" w:rsidRPr="00412E44">
          <w:rPr>
            <w:rFonts w:asciiTheme="majorHAnsi" w:hAnsiTheme="majorHAnsi" w:cstheme="majorHAnsi"/>
          </w:rPr>
          <w:t>Husereau</w:t>
        </w:r>
        <w:proofErr w:type="spellEnd"/>
        <w:r w:rsidR="00DA6D78" w:rsidRPr="00412E44">
          <w:rPr>
            <w:rFonts w:asciiTheme="majorHAnsi" w:hAnsiTheme="majorHAnsi" w:cstheme="majorHAnsi"/>
          </w:rPr>
          <w:t xml:space="preserve"> D</w:t>
        </w:r>
      </w:hyperlink>
      <w:r w:rsidR="00DA6D78" w:rsidRPr="00412E44">
        <w:rPr>
          <w:rFonts w:asciiTheme="majorHAnsi" w:hAnsiTheme="majorHAnsi" w:cstheme="majorHAnsi"/>
        </w:rPr>
        <w:t xml:space="preserve">, </w:t>
      </w:r>
      <w:hyperlink r:id="rId20">
        <w:r w:rsidR="00DA6D78" w:rsidRPr="00412E44">
          <w:rPr>
            <w:rFonts w:asciiTheme="majorHAnsi" w:hAnsiTheme="majorHAnsi" w:cstheme="majorHAnsi"/>
          </w:rPr>
          <w:t>Drummond M</w:t>
        </w:r>
      </w:hyperlink>
      <w:r w:rsidR="00DA6D78" w:rsidRPr="00412E44">
        <w:rPr>
          <w:rFonts w:asciiTheme="majorHAnsi" w:hAnsiTheme="majorHAnsi" w:cstheme="majorHAnsi"/>
        </w:rPr>
        <w:t xml:space="preserve">, </w:t>
      </w:r>
      <w:hyperlink r:id="rId21">
        <w:proofErr w:type="spellStart"/>
        <w:r w:rsidR="00DA6D78" w:rsidRPr="00412E44">
          <w:rPr>
            <w:rFonts w:asciiTheme="majorHAnsi" w:hAnsiTheme="majorHAnsi" w:cstheme="majorHAnsi"/>
          </w:rPr>
          <w:t>Petrou</w:t>
        </w:r>
        <w:proofErr w:type="spellEnd"/>
        <w:r w:rsidR="00DA6D78" w:rsidRPr="00412E44">
          <w:rPr>
            <w:rFonts w:asciiTheme="majorHAnsi" w:hAnsiTheme="majorHAnsi" w:cstheme="majorHAnsi"/>
          </w:rPr>
          <w:t xml:space="preserve"> S</w:t>
        </w:r>
      </w:hyperlink>
      <w:r w:rsidR="00DA6D78" w:rsidRPr="00412E44">
        <w:rPr>
          <w:rFonts w:asciiTheme="majorHAnsi" w:hAnsiTheme="majorHAnsi" w:cstheme="majorHAnsi"/>
        </w:rPr>
        <w:t xml:space="preserve">, et al. Consolidated Health Economic Evaluation Reporting Standards (CHEERS) statement. </w:t>
      </w:r>
      <w:hyperlink r:id="rId22">
        <w:proofErr w:type="spellStart"/>
        <w:r w:rsidR="00DA6D78" w:rsidRPr="00412E44">
          <w:rPr>
            <w:rFonts w:asciiTheme="majorHAnsi" w:hAnsiTheme="majorHAnsi" w:cstheme="majorHAnsi"/>
          </w:rPr>
          <w:t>Eur</w:t>
        </w:r>
        <w:proofErr w:type="spellEnd"/>
        <w:r w:rsidR="00DA6D78" w:rsidRPr="00412E44">
          <w:rPr>
            <w:rFonts w:asciiTheme="majorHAnsi" w:hAnsiTheme="majorHAnsi" w:cstheme="majorHAnsi"/>
          </w:rPr>
          <w:t xml:space="preserve"> J Health Econ.</w:t>
        </w:r>
      </w:hyperlink>
      <w:r w:rsidR="00DA6D78" w:rsidRPr="00412E44">
        <w:rPr>
          <w:rFonts w:asciiTheme="majorHAnsi" w:hAnsiTheme="majorHAnsi" w:cstheme="majorHAnsi"/>
        </w:rPr>
        <w:t xml:space="preserve"> 201314(3):367-72. </w:t>
      </w:r>
      <w:proofErr w:type="spellStart"/>
      <w:r w:rsidR="00DA6D78" w:rsidRPr="00412E44">
        <w:rPr>
          <w:rFonts w:asciiTheme="majorHAnsi" w:hAnsiTheme="majorHAnsi" w:cstheme="majorHAnsi"/>
        </w:rPr>
        <w:t>doi</w:t>
      </w:r>
      <w:proofErr w:type="spellEnd"/>
      <w:r w:rsidR="00DA6D78" w:rsidRPr="00412E44">
        <w:rPr>
          <w:rFonts w:asciiTheme="majorHAnsi" w:hAnsiTheme="majorHAnsi" w:cstheme="majorHAnsi"/>
        </w:rPr>
        <w:t>: 10.1007/s10198-013-0471-6.</w:t>
      </w:r>
    </w:p>
    <w:p w14:paraId="36253A6F" w14:textId="445FD138" w:rsidR="00A636C3"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highlight w:val="white"/>
        </w:rPr>
        <w:t xml:space="preserve">Imperial College Clinical Research Governance Office. Good Clinical Practice [Web Page] 2007. </w:t>
      </w:r>
      <w:r w:rsidRPr="00412E44">
        <w:rPr>
          <w:rFonts w:asciiTheme="majorHAnsi" w:hAnsiTheme="majorHAnsi" w:cstheme="majorHAnsi"/>
          <w:highlight w:val="white"/>
          <w:lang w:val="pt-BR"/>
        </w:rPr>
        <w:t xml:space="preserve">Disponível em:  </w:t>
      </w:r>
      <w:r w:rsidR="00086105">
        <w:fldChar w:fldCharType="begin"/>
      </w:r>
      <w:r w:rsidR="00086105" w:rsidRPr="00CA1E64">
        <w:rPr>
          <w:lang w:val="pt-BR"/>
        </w:rPr>
        <w:instrText xml:space="preserve"> HYPERLINK "http://www.imperial.ac.uk/clinicalresearchoffice" \h </w:instrText>
      </w:r>
      <w:r w:rsidR="00086105">
        <w:fldChar w:fldCharType="separate"/>
      </w:r>
      <w:r w:rsidRPr="00412E44">
        <w:rPr>
          <w:rFonts w:asciiTheme="majorHAnsi" w:hAnsiTheme="majorHAnsi" w:cstheme="majorHAnsi"/>
          <w:color w:val="642A8F"/>
          <w:highlight w:val="white"/>
          <w:u w:val="single"/>
          <w:lang w:val="pt-BR"/>
        </w:rPr>
        <w:t>http://www.imperial.ac.uk/clinicalresearchoffice</w:t>
      </w:r>
      <w:r w:rsidR="00086105">
        <w:rPr>
          <w:rFonts w:asciiTheme="majorHAnsi" w:hAnsiTheme="majorHAnsi" w:cstheme="majorHAnsi"/>
          <w:color w:val="642A8F"/>
          <w:highlight w:val="white"/>
          <w:u w:val="single"/>
          <w:lang w:val="pt-BR"/>
        </w:rPr>
        <w:fldChar w:fldCharType="end"/>
      </w:r>
      <w:r w:rsidRPr="00412E44">
        <w:rPr>
          <w:rFonts w:asciiTheme="majorHAnsi" w:hAnsiTheme="majorHAnsi" w:cstheme="majorHAnsi"/>
          <w:highlight w:val="white"/>
          <w:lang w:val="pt-BR"/>
        </w:rPr>
        <w:t>.</w:t>
      </w:r>
      <w:r w:rsidRPr="00412E44">
        <w:rPr>
          <w:rFonts w:asciiTheme="majorHAnsi" w:hAnsiTheme="majorHAnsi" w:cstheme="majorHAnsi"/>
          <w:lang w:val="pt-BR"/>
        </w:rPr>
        <w:t>Acessado em 24 de outubro de 2019.</w:t>
      </w:r>
    </w:p>
    <w:p w14:paraId="2AEA19E0" w14:textId="5668B9C7" w:rsidR="000A0F5D" w:rsidRPr="00412E44" w:rsidRDefault="000A0F5D" w:rsidP="00161B82">
      <w:pPr>
        <w:spacing w:before="240" w:after="240" w:line="240" w:lineRule="auto"/>
        <w:jc w:val="both"/>
        <w:rPr>
          <w:rFonts w:asciiTheme="majorHAnsi" w:hAnsiTheme="majorHAnsi" w:cstheme="majorHAnsi"/>
        </w:rPr>
      </w:pPr>
      <w:r w:rsidRPr="00412E44">
        <w:rPr>
          <w:rFonts w:asciiTheme="majorHAnsi" w:hAnsiTheme="majorHAnsi" w:cstheme="majorHAnsi"/>
          <w:color w:val="222222"/>
          <w:shd w:val="clear" w:color="auto" w:fill="FFFFFF"/>
          <w:lang w:val="pt-BR"/>
        </w:rPr>
        <w:t xml:space="preserve">Kim, J.A., Boyle, EJ., Wu, AC., Cole, AJ., Staley, KJ., Zafar, S., ... </w:t>
      </w:r>
      <w:r w:rsidRPr="00412E44">
        <w:rPr>
          <w:rFonts w:asciiTheme="majorHAnsi" w:hAnsiTheme="majorHAnsi" w:cstheme="majorHAnsi"/>
          <w:color w:val="222222"/>
          <w:shd w:val="clear" w:color="auto" w:fill="FFFFFF"/>
        </w:rPr>
        <w:t>&amp; Westover, MB. Epileptiform activity in traumatic brain injury predicts post‐traumatic epilepsy. </w:t>
      </w:r>
      <w:r w:rsidRPr="00412E44">
        <w:rPr>
          <w:rFonts w:asciiTheme="majorHAnsi" w:hAnsiTheme="majorHAnsi" w:cstheme="majorHAnsi"/>
          <w:iCs/>
          <w:color w:val="222222"/>
          <w:shd w:val="clear" w:color="auto" w:fill="FFFFFF"/>
        </w:rPr>
        <w:t>Annals of neurology</w:t>
      </w:r>
      <w:r w:rsidRPr="00412E44">
        <w:rPr>
          <w:rFonts w:asciiTheme="majorHAnsi" w:hAnsiTheme="majorHAnsi" w:cstheme="majorHAnsi"/>
          <w:color w:val="222222"/>
          <w:shd w:val="clear" w:color="auto" w:fill="FFFFFF"/>
        </w:rPr>
        <w:t xml:space="preserve">, 2018; </w:t>
      </w:r>
      <w:r w:rsidRPr="00412E44">
        <w:rPr>
          <w:rFonts w:asciiTheme="majorHAnsi" w:hAnsiTheme="majorHAnsi" w:cstheme="majorHAnsi"/>
          <w:i/>
          <w:iCs/>
          <w:color w:val="222222"/>
          <w:shd w:val="clear" w:color="auto" w:fill="FFFFFF"/>
        </w:rPr>
        <w:t>83</w:t>
      </w:r>
      <w:r w:rsidRPr="00412E44">
        <w:rPr>
          <w:rFonts w:asciiTheme="majorHAnsi" w:hAnsiTheme="majorHAnsi" w:cstheme="majorHAnsi"/>
          <w:color w:val="222222"/>
          <w:shd w:val="clear" w:color="auto" w:fill="FFFFFF"/>
        </w:rPr>
        <w:t>(4), 858-862.</w:t>
      </w:r>
    </w:p>
    <w:p w14:paraId="4D3F8685" w14:textId="472B9171"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 xml:space="preserve">Klein P, </w:t>
      </w:r>
      <w:proofErr w:type="spellStart"/>
      <w:r w:rsidRPr="00412E44">
        <w:rPr>
          <w:rFonts w:asciiTheme="majorHAnsi" w:hAnsiTheme="majorHAnsi" w:cstheme="majorHAnsi"/>
        </w:rPr>
        <w:t>Tyrlikova</w:t>
      </w:r>
      <w:proofErr w:type="spellEnd"/>
      <w:r w:rsidRPr="00412E44">
        <w:rPr>
          <w:rFonts w:asciiTheme="majorHAnsi" w:hAnsiTheme="majorHAnsi" w:cstheme="majorHAnsi"/>
        </w:rPr>
        <w:t xml:space="preserve"> I. Prevention of epilepsy: Should we be avoiding clinical trials? Epilepsy Behav.2017;72:188-94.</w:t>
      </w:r>
    </w:p>
    <w:p w14:paraId="6D77871F" w14:textId="3969E8D0" w:rsidR="00780F49" w:rsidRPr="00412E44" w:rsidRDefault="00780F49"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color w:val="222222"/>
          <w:shd w:val="clear" w:color="auto" w:fill="FFFFFF"/>
        </w:rPr>
        <w:t xml:space="preserve">Maas, AI., Menon, DK., Adelson, PD., </w:t>
      </w:r>
      <w:proofErr w:type="spellStart"/>
      <w:r w:rsidRPr="00412E44">
        <w:rPr>
          <w:rFonts w:asciiTheme="majorHAnsi" w:hAnsiTheme="majorHAnsi" w:cstheme="majorHAnsi"/>
          <w:color w:val="222222"/>
          <w:shd w:val="clear" w:color="auto" w:fill="FFFFFF"/>
        </w:rPr>
        <w:t>Andelic</w:t>
      </w:r>
      <w:proofErr w:type="spellEnd"/>
      <w:r w:rsidRPr="00412E44">
        <w:rPr>
          <w:rFonts w:asciiTheme="majorHAnsi" w:hAnsiTheme="majorHAnsi" w:cstheme="majorHAnsi"/>
          <w:color w:val="222222"/>
          <w:shd w:val="clear" w:color="auto" w:fill="FFFFFF"/>
        </w:rPr>
        <w:t xml:space="preserve">, N., Bell, MJ., Belli, A., … &amp; </w:t>
      </w:r>
      <w:proofErr w:type="spellStart"/>
      <w:r w:rsidRPr="00412E44">
        <w:rPr>
          <w:rFonts w:asciiTheme="majorHAnsi" w:hAnsiTheme="majorHAnsi" w:cstheme="majorHAnsi"/>
          <w:color w:val="222222"/>
          <w:shd w:val="clear" w:color="auto" w:fill="FFFFFF"/>
        </w:rPr>
        <w:t>Citerio</w:t>
      </w:r>
      <w:proofErr w:type="spellEnd"/>
      <w:r w:rsidRPr="00412E44">
        <w:rPr>
          <w:rFonts w:asciiTheme="majorHAnsi" w:hAnsiTheme="majorHAnsi" w:cstheme="majorHAnsi"/>
          <w:color w:val="222222"/>
          <w:shd w:val="clear" w:color="auto" w:fill="FFFFFF"/>
        </w:rPr>
        <w:t>, G.  Traumatic brain injury: integrated approaches to improve prevention, clinical care, and research. </w:t>
      </w:r>
      <w:r w:rsidRPr="00412E44">
        <w:rPr>
          <w:rFonts w:asciiTheme="majorHAnsi" w:hAnsiTheme="majorHAnsi" w:cstheme="majorHAnsi"/>
          <w:iCs/>
          <w:color w:val="222222"/>
          <w:shd w:val="clear" w:color="auto" w:fill="FFFFFF"/>
          <w:lang w:val="pt-BR"/>
        </w:rPr>
        <w:t>The Lancet Neurology</w:t>
      </w:r>
      <w:r w:rsidRPr="00412E44">
        <w:rPr>
          <w:rFonts w:asciiTheme="majorHAnsi" w:hAnsiTheme="majorHAnsi" w:cstheme="majorHAnsi"/>
          <w:color w:val="222222"/>
          <w:shd w:val="clear" w:color="auto" w:fill="FFFFFF"/>
          <w:lang w:val="pt-BR"/>
        </w:rPr>
        <w:t xml:space="preserve">, 2017; </w:t>
      </w:r>
      <w:r w:rsidRPr="00412E44">
        <w:rPr>
          <w:rFonts w:asciiTheme="majorHAnsi" w:hAnsiTheme="majorHAnsi" w:cstheme="majorHAnsi"/>
          <w:i/>
          <w:iCs/>
          <w:color w:val="222222"/>
          <w:shd w:val="clear" w:color="auto" w:fill="FFFFFF"/>
          <w:lang w:val="pt-BR"/>
        </w:rPr>
        <w:t>16</w:t>
      </w:r>
      <w:r w:rsidRPr="00412E44">
        <w:rPr>
          <w:rFonts w:asciiTheme="majorHAnsi" w:hAnsiTheme="majorHAnsi" w:cstheme="majorHAnsi"/>
          <w:color w:val="222222"/>
          <w:shd w:val="clear" w:color="auto" w:fill="FFFFFF"/>
          <w:lang w:val="pt-BR"/>
        </w:rPr>
        <w:t>(12), 987-1048.</w:t>
      </w:r>
    </w:p>
    <w:p w14:paraId="19188020" w14:textId="3B343D57" w:rsidR="00A636C3"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lang w:val="pt-BR"/>
        </w:rPr>
        <w:lastRenderedPageBreak/>
        <w:t xml:space="preserve">Magalhães ALG, Souza </w:t>
      </w:r>
      <w:r w:rsidR="00E805EC" w:rsidRPr="00412E44">
        <w:rPr>
          <w:rFonts w:asciiTheme="majorHAnsi" w:hAnsiTheme="majorHAnsi" w:cstheme="majorHAnsi"/>
          <w:lang w:val="pt-BR"/>
        </w:rPr>
        <w:t>LC,</w:t>
      </w:r>
      <w:r w:rsidRPr="00412E44">
        <w:rPr>
          <w:rFonts w:asciiTheme="majorHAnsi" w:hAnsiTheme="majorHAnsi" w:cstheme="majorHAnsi"/>
          <w:lang w:val="pt-BR"/>
        </w:rPr>
        <w:t xml:space="preserve"> Faleiro RM , Teixeira AL, Miranda AL. Epidemiologia do traumatismo cranioencefálico no Brasil. Revista Brasileira de Neurologia 2017;53(2):15-22.</w:t>
      </w:r>
    </w:p>
    <w:p w14:paraId="5BF7FD00" w14:textId="77777777" w:rsidR="00A636C3" w:rsidRPr="00412E44" w:rsidRDefault="00DA6D78" w:rsidP="00161B82">
      <w:pPr>
        <w:spacing w:before="240" w:after="240" w:line="240" w:lineRule="auto"/>
        <w:jc w:val="both"/>
        <w:rPr>
          <w:rFonts w:asciiTheme="majorHAnsi" w:hAnsiTheme="majorHAnsi" w:cstheme="majorHAnsi"/>
          <w:lang w:val="pt-BR"/>
        </w:rPr>
      </w:pPr>
      <w:r w:rsidRPr="00412E44">
        <w:rPr>
          <w:rFonts w:asciiTheme="majorHAnsi" w:hAnsiTheme="majorHAnsi" w:cstheme="majorHAnsi"/>
          <w:lang w:val="pt-BR"/>
        </w:rPr>
        <w:t>Masel BE, DeWitt DS. Traumatic brain injury: a disease process, not an event. J Neurotrauma. 2010;27(8):1529-40.</w:t>
      </w:r>
    </w:p>
    <w:p w14:paraId="53B1DDBD" w14:textId="5E220D91" w:rsidR="00A636C3" w:rsidRPr="00412E44" w:rsidRDefault="00DA6D78" w:rsidP="00161B82">
      <w:pPr>
        <w:spacing w:before="200" w:after="200" w:line="240" w:lineRule="auto"/>
        <w:jc w:val="both"/>
        <w:rPr>
          <w:rFonts w:asciiTheme="majorHAnsi" w:hAnsiTheme="majorHAnsi" w:cstheme="majorHAnsi"/>
          <w:lang w:val="pt-BR"/>
        </w:rPr>
      </w:pPr>
      <w:r w:rsidRPr="00412E44">
        <w:rPr>
          <w:rFonts w:asciiTheme="majorHAnsi" w:hAnsiTheme="majorHAnsi" w:cstheme="majorHAnsi"/>
          <w:lang w:val="pt-BR"/>
        </w:rPr>
        <w:t xml:space="preserve">Ministério da Saúde. Secretaria de Atenção à Saúde.Diretrizes de atenção à reabilitação da pessoa com traumatismo cranioencefálico.  </w:t>
      </w:r>
      <w:r w:rsidR="00E805EC" w:rsidRPr="00412E44">
        <w:rPr>
          <w:rFonts w:asciiTheme="majorHAnsi" w:hAnsiTheme="majorHAnsi" w:cstheme="majorHAnsi"/>
          <w:lang w:val="pt-BR"/>
        </w:rPr>
        <w:t>Brasília:</w:t>
      </w:r>
      <w:r w:rsidRPr="00412E44">
        <w:rPr>
          <w:rFonts w:asciiTheme="majorHAnsi" w:hAnsiTheme="majorHAnsi" w:cstheme="majorHAnsi"/>
          <w:lang w:val="pt-BR"/>
        </w:rPr>
        <w:t xml:space="preserve"> Ministério da Saúde, 2015.</w:t>
      </w:r>
    </w:p>
    <w:p w14:paraId="32C7C662" w14:textId="658AF8FB" w:rsidR="009B7446" w:rsidRPr="00412E44" w:rsidRDefault="009B7446" w:rsidP="00161B82">
      <w:pPr>
        <w:spacing w:before="200" w:after="200" w:line="240" w:lineRule="auto"/>
        <w:jc w:val="both"/>
        <w:rPr>
          <w:rFonts w:asciiTheme="majorHAnsi" w:hAnsiTheme="majorHAnsi" w:cstheme="majorHAnsi"/>
        </w:rPr>
      </w:pPr>
      <w:r w:rsidRPr="00412E44">
        <w:rPr>
          <w:rFonts w:asciiTheme="majorHAnsi" w:hAnsiTheme="majorHAnsi" w:cstheme="majorHAnsi"/>
          <w:color w:val="222222"/>
          <w:shd w:val="clear" w:color="auto" w:fill="FFFFFF"/>
          <w:lang w:val="pt-BR"/>
        </w:rPr>
        <w:t xml:space="preserve">Moran SP, Maksymetz J, Conn PJ. </w:t>
      </w:r>
      <w:r w:rsidRPr="00412E44">
        <w:rPr>
          <w:rFonts w:asciiTheme="majorHAnsi" w:hAnsiTheme="majorHAnsi" w:cstheme="majorHAnsi"/>
          <w:color w:val="222222"/>
          <w:shd w:val="clear" w:color="auto" w:fill="FFFFFF"/>
        </w:rPr>
        <w:t>Targeting Muscarinic Acetylcholine Receptors for the Treatment of Psychiatric and Neurological Disorders. Trends in pharmacological sciences. 2019 Nov 8.</w:t>
      </w:r>
    </w:p>
    <w:p w14:paraId="69947559" w14:textId="77777777" w:rsidR="00A636C3" w:rsidRPr="00412E44" w:rsidRDefault="00DA6D78" w:rsidP="00161B82">
      <w:pPr>
        <w:spacing w:before="200" w:after="200" w:line="240" w:lineRule="auto"/>
        <w:jc w:val="both"/>
        <w:rPr>
          <w:rFonts w:asciiTheme="majorHAnsi" w:hAnsiTheme="majorHAnsi" w:cstheme="majorHAnsi"/>
          <w:lang w:val="pt-BR"/>
        </w:rPr>
      </w:pPr>
      <w:r w:rsidRPr="00412E44">
        <w:rPr>
          <w:rFonts w:asciiTheme="majorHAnsi" w:hAnsiTheme="majorHAnsi" w:cstheme="majorHAnsi"/>
        </w:rPr>
        <w:t xml:space="preserve">NCT01048138.Use of Biperiden for the Prevention of Post-traumatic Epilepsy. </w:t>
      </w:r>
      <w:r w:rsidRPr="00412E44">
        <w:rPr>
          <w:rFonts w:asciiTheme="majorHAnsi" w:hAnsiTheme="majorHAnsi" w:cstheme="majorHAnsi"/>
          <w:lang w:val="pt-BR"/>
        </w:rPr>
        <w:t xml:space="preserve">Disponível em: </w:t>
      </w:r>
      <w:hyperlink r:id="rId23">
        <w:r w:rsidRPr="00412E44">
          <w:rPr>
            <w:rFonts w:asciiTheme="majorHAnsi" w:hAnsiTheme="majorHAnsi" w:cstheme="majorHAnsi"/>
            <w:color w:val="1155CC"/>
            <w:u w:val="single"/>
            <w:lang w:val="pt-BR"/>
          </w:rPr>
          <w:t>https://clinicaltrials.gov/ct2/show/NCT01048138?term=biperideno&amp;rank=1</w:t>
        </w:r>
      </w:hyperlink>
      <w:r w:rsidRPr="00412E44">
        <w:rPr>
          <w:rFonts w:asciiTheme="majorHAnsi" w:hAnsiTheme="majorHAnsi" w:cstheme="majorHAnsi"/>
          <w:lang w:val="pt-BR"/>
        </w:rPr>
        <w:t>. Acessado em 18 de outubro de 2019.</w:t>
      </w:r>
    </w:p>
    <w:p w14:paraId="7F66C16D" w14:textId="5B6F6125" w:rsidR="00A636C3" w:rsidRPr="00412E44" w:rsidRDefault="00DA6D78" w:rsidP="00161B82">
      <w:pPr>
        <w:spacing w:before="200" w:after="200" w:line="240" w:lineRule="auto"/>
        <w:jc w:val="both"/>
        <w:rPr>
          <w:rFonts w:asciiTheme="majorHAnsi" w:hAnsiTheme="majorHAnsi" w:cstheme="majorHAnsi"/>
          <w:lang w:val="pt-BR"/>
        </w:rPr>
      </w:pPr>
      <w:r w:rsidRPr="00412E44">
        <w:rPr>
          <w:rFonts w:asciiTheme="majorHAnsi" w:hAnsiTheme="majorHAnsi" w:cstheme="majorHAnsi"/>
          <w:lang w:val="pt-BR"/>
        </w:rPr>
        <w:t xml:space="preserve">Okamoto OK, Janjoppi L, Bonone FM, </w:t>
      </w:r>
      <w:r w:rsidRPr="00412E44">
        <w:rPr>
          <w:rFonts w:asciiTheme="majorHAnsi" w:hAnsiTheme="majorHAnsi" w:cstheme="majorHAnsi"/>
          <w:i/>
          <w:lang w:val="pt-BR"/>
        </w:rPr>
        <w:t>et al</w:t>
      </w:r>
      <w:r w:rsidRPr="00412E44">
        <w:rPr>
          <w:rFonts w:asciiTheme="majorHAnsi" w:hAnsiTheme="majorHAnsi" w:cstheme="majorHAnsi"/>
          <w:lang w:val="pt-BR"/>
        </w:rPr>
        <w:t xml:space="preserve">. </w:t>
      </w:r>
      <w:r w:rsidRPr="00412E44">
        <w:rPr>
          <w:rFonts w:asciiTheme="majorHAnsi" w:hAnsiTheme="majorHAnsi" w:cstheme="majorHAnsi"/>
        </w:rPr>
        <w:t xml:space="preserve">Whole transcriptome analysis of the hippocampus: toward a molecular portrait of epileptogenesis. </w:t>
      </w:r>
      <w:r w:rsidRPr="00412E44">
        <w:rPr>
          <w:rFonts w:asciiTheme="majorHAnsi" w:hAnsiTheme="majorHAnsi" w:cstheme="majorHAnsi"/>
          <w:lang w:val="pt-BR"/>
        </w:rPr>
        <w:t xml:space="preserve">BMC genomics. </w:t>
      </w:r>
      <w:r w:rsidR="00E805EC" w:rsidRPr="00412E44">
        <w:rPr>
          <w:rFonts w:asciiTheme="majorHAnsi" w:hAnsiTheme="majorHAnsi" w:cstheme="majorHAnsi"/>
          <w:lang w:val="pt-BR"/>
        </w:rPr>
        <w:t>2010; 11:230</w:t>
      </w:r>
      <w:r w:rsidRPr="00412E44">
        <w:rPr>
          <w:rFonts w:asciiTheme="majorHAnsi" w:hAnsiTheme="majorHAnsi" w:cstheme="majorHAnsi"/>
          <w:lang w:val="pt-BR"/>
        </w:rPr>
        <w:t xml:space="preserve">.  </w:t>
      </w:r>
    </w:p>
    <w:p w14:paraId="24177A98" w14:textId="77777777" w:rsidR="00A636C3" w:rsidRPr="00412E44" w:rsidRDefault="00DA6D78" w:rsidP="00161B82">
      <w:pPr>
        <w:spacing w:before="200" w:after="200" w:line="240" w:lineRule="auto"/>
        <w:jc w:val="both"/>
        <w:rPr>
          <w:rFonts w:asciiTheme="majorHAnsi" w:hAnsiTheme="majorHAnsi" w:cstheme="majorHAnsi"/>
          <w:lang w:val="pt-BR"/>
        </w:rPr>
      </w:pPr>
      <w:r w:rsidRPr="00412E44">
        <w:rPr>
          <w:rFonts w:asciiTheme="majorHAnsi" w:hAnsiTheme="majorHAnsi" w:cstheme="majorHAnsi"/>
          <w:highlight w:val="white"/>
          <w:lang w:val="pt-BR"/>
        </w:rPr>
        <w:t>Oliveira M da S. Figuras Complexas de Rey: teste de cópia e de reprodução de memória de figuras geométricas complexas. Manual André Rey. Revisão técnica Teresinha Rey, Lucia C. F. Franco. Tradução Teresinha Rey, Lucia C. F. Franco. São Paulo: Casa do Psicólogo; 1999</w:t>
      </w:r>
    </w:p>
    <w:p w14:paraId="33C6E6C5" w14:textId="5AEEB0BE" w:rsidR="00A636C3" w:rsidRPr="00412E44" w:rsidRDefault="00DA6D78" w:rsidP="00161B82">
      <w:pPr>
        <w:spacing w:before="200" w:after="200" w:line="240" w:lineRule="auto"/>
        <w:jc w:val="both"/>
        <w:rPr>
          <w:rFonts w:asciiTheme="majorHAnsi" w:hAnsiTheme="majorHAnsi" w:cstheme="majorHAnsi"/>
        </w:rPr>
      </w:pPr>
      <w:proofErr w:type="spellStart"/>
      <w:r w:rsidRPr="00412E44">
        <w:rPr>
          <w:rFonts w:asciiTheme="majorHAnsi" w:hAnsiTheme="majorHAnsi" w:cstheme="majorHAnsi"/>
        </w:rPr>
        <w:t>Payan</w:t>
      </w:r>
      <w:proofErr w:type="spellEnd"/>
      <w:r w:rsidRPr="00412E44">
        <w:rPr>
          <w:rFonts w:asciiTheme="majorHAnsi" w:hAnsiTheme="majorHAnsi" w:cstheme="majorHAnsi"/>
        </w:rPr>
        <w:t xml:space="preserve"> H, Toga M, </w:t>
      </w:r>
      <w:proofErr w:type="spellStart"/>
      <w:r w:rsidRPr="00412E44">
        <w:rPr>
          <w:rFonts w:asciiTheme="majorHAnsi" w:hAnsiTheme="majorHAnsi" w:cstheme="majorHAnsi"/>
        </w:rPr>
        <w:t>Bérard-Badier</w:t>
      </w:r>
      <w:proofErr w:type="spellEnd"/>
      <w:r w:rsidRPr="00412E44">
        <w:rPr>
          <w:rFonts w:asciiTheme="majorHAnsi" w:hAnsiTheme="majorHAnsi" w:cstheme="majorHAnsi"/>
        </w:rPr>
        <w:t xml:space="preserve"> M. The pathology of post-traumatic </w:t>
      </w:r>
      <w:r w:rsidR="00E805EC" w:rsidRPr="00412E44">
        <w:rPr>
          <w:rFonts w:asciiTheme="majorHAnsi" w:hAnsiTheme="majorHAnsi" w:cstheme="majorHAnsi"/>
        </w:rPr>
        <w:t xml:space="preserve">epilepsies. </w:t>
      </w:r>
      <w:proofErr w:type="spellStart"/>
      <w:r w:rsidR="00E805EC" w:rsidRPr="00412E44">
        <w:rPr>
          <w:rFonts w:asciiTheme="majorHAnsi" w:hAnsiTheme="majorHAnsi" w:cstheme="majorHAnsi"/>
        </w:rPr>
        <w:t>Epilepsia</w:t>
      </w:r>
      <w:proofErr w:type="spellEnd"/>
      <w:r w:rsidRPr="00412E44">
        <w:rPr>
          <w:rFonts w:asciiTheme="majorHAnsi" w:hAnsiTheme="majorHAnsi" w:cstheme="majorHAnsi"/>
        </w:rPr>
        <w:t>. 1970;11(1):81-94.</w:t>
      </w:r>
    </w:p>
    <w:p w14:paraId="708FED54" w14:textId="77777777" w:rsidR="00A636C3" w:rsidRPr="00412E44" w:rsidRDefault="00DA6D78" w:rsidP="00161B82">
      <w:pPr>
        <w:spacing w:before="200" w:after="200" w:line="240" w:lineRule="auto"/>
        <w:jc w:val="both"/>
        <w:rPr>
          <w:rFonts w:asciiTheme="majorHAnsi" w:hAnsiTheme="majorHAnsi" w:cstheme="majorHAnsi"/>
        </w:rPr>
      </w:pPr>
      <w:r w:rsidRPr="00412E44">
        <w:rPr>
          <w:rFonts w:asciiTheme="majorHAnsi" w:hAnsiTheme="majorHAnsi" w:cstheme="majorHAnsi"/>
          <w:lang w:val="en-GB"/>
        </w:rPr>
        <w:t xml:space="preserve">Pereira HAA, </w:t>
      </w:r>
      <w:proofErr w:type="spellStart"/>
      <w:r w:rsidRPr="00412E44">
        <w:rPr>
          <w:rFonts w:asciiTheme="majorHAnsi" w:hAnsiTheme="majorHAnsi" w:cstheme="majorHAnsi"/>
          <w:lang w:val="en-GB"/>
        </w:rPr>
        <w:t>Benassi</w:t>
      </w:r>
      <w:proofErr w:type="spellEnd"/>
      <w:r w:rsidRPr="00412E44">
        <w:rPr>
          <w:rFonts w:asciiTheme="majorHAnsi" w:hAnsiTheme="majorHAnsi" w:cstheme="majorHAnsi"/>
          <w:lang w:val="en-GB"/>
        </w:rPr>
        <w:t xml:space="preserve"> SK, Mello LE. </w:t>
      </w:r>
      <w:r w:rsidRPr="00412E44">
        <w:rPr>
          <w:rFonts w:asciiTheme="majorHAnsi" w:hAnsiTheme="majorHAnsi" w:cstheme="majorHAnsi"/>
        </w:rPr>
        <w:t>Plastic Changes and Disease-modifying Effects of Scopolamine in the Pilocarpine Model of Epilepsy in Rats. Epilepsia.2005;46(s5):118-124.</w:t>
      </w:r>
    </w:p>
    <w:p w14:paraId="5C90A095" w14:textId="11FF3CDF" w:rsidR="00A636C3" w:rsidRPr="00412E44" w:rsidRDefault="00DA6D78" w:rsidP="00161B82">
      <w:pPr>
        <w:spacing w:before="200" w:after="200" w:line="240" w:lineRule="auto"/>
        <w:jc w:val="both"/>
        <w:rPr>
          <w:rFonts w:asciiTheme="majorHAnsi" w:hAnsiTheme="majorHAnsi" w:cstheme="majorHAnsi"/>
        </w:rPr>
      </w:pPr>
      <w:proofErr w:type="spellStart"/>
      <w:r w:rsidRPr="00412E44">
        <w:rPr>
          <w:rFonts w:asciiTheme="majorHAnsi" w:hAnsiTheme="majorHAnsi" w:cstheme="majorHAnsi"/>
        </w:rPr>
        <w:t>Piccenna</w:t>
      </w:r>
      <w:proofErr w:type="spellEnd"/>
      <w:r w:rsidRPr="00412E44">
        <w:rPr>
          <w:rFonts w:asciiTheme="majorHAnsi" w:hAnsiTheme="majorHAnsi" w:cstheme="majorHAnsi"/>
        </w:rPr>
        <w:t xml:space="preserve"> L, Shears G, O'Brien </w:t>
      </w:r>
      <w:r w:rsidR="00E805EC" w:rsidRPr="00412E44">
        <w:rPr>
          <w:rFonts w:asciiTheme="majorHAnsi" w:hAnsiTheme="majorHAnsi" w:cstheme="majorHAnsi"/>
        </w:rPr>
        <w:t>TJ. Management</w:t>
      </w:r>
      <w:r w:rsidRPr="00412E44">
        <w:rPr>
          <w:rFonts w:asciiTheme="majorHAnsi" w:hAnsiTheme="majorHAnsi" w:cstheme="majorHAnsi"/>
        </w:rPr>
        <w:t xml:space="preserve"> of post‐traumatic epilepsy: An evidence review over the last 5 years and future directions. </w:t>
      </w:r>
      <w:proofErr w:type="spellStart"/>
      <w:r w:rsidRPr="00412E44">
        <w:rPr>
          <w:rFonts w:asciiTheme="majorHAnsi" w:hAnsiTheme="majorHAnsi" w:cstheme="majorHAnsi"/>
        </w:rPr>
        <w:t>Epilepsia</w:t>
      </w:r>
      <w:proofErr w:type="spellEnd"/>
      <w:r w:rsidRPr="00412E44">
        <w:rPr>
          <w:rFonts w:asciiTheme="majorHAnsi" w:hAnsiTheme="majorHAnsi" w:cstheme="majorHAnsi"/>
        </w:rPr>
        <w:t xml:space="preserve">. 2017;2(2):123-44.  </w:t>
      </w:r>
    </w:p>
    <w:p w14:paraId="336D51B7" w14:textId="0CB421B3" w:rsidR="00A636C3" w:rsidRPr="00412E44" w:rsidRDefault="00DA6D78" w:rsidP="00161B82">
      <w:pPr>
        <w:spacing w:before="200" w:after="200" w:line="240" w:lineRule="auto"/>
        <w:jc w:val="both"/>
        <w:rPr>
          <w:rFonts w:asciiTheme="majorHAnsi" w:hAnsiTheme="majorHAnsi" w:cstheme="majorHAnsi"/>
        </w:rPr>
      </w:pPr>
      <w:proofErr w:type="spellStart"/>
      <w:r w:rsidRPr="00412E44">
        <w:rPr>
          <w:rFonts w:asciiTheme="majorHAnsi" w:hAnsiTheme="majorHAnsi" w:cstheme="majorHAnsi"/>
        </w:rPr>
        <w:t>Pitkänen</w:t>
      </w:r>
      <w:proofErr w:type="spellEnd"/>
      <w:r w:rsidRPr="00412E44">
        <w:rPr>
          <w:rFonts w:asciiTheme="majorHAnsi" w:hAnsiTheme="majorHAnsi" w:cstheme="majorHAnsi"/>
        </w:rPr>
        <w:t xml:space="preserve"> </w:t>
      </w:r>
      <w:r w:rsidR="00E805EC" w:rsidRPr="00412E44">
        <w:rPr>
          <w:rFonts w:asciiTheme="majorHAnsi" w:hAnsiTheme="majorHAnsi" w:cstheme="majorHAnsi"/>
        </w:rPr>
        <w:t>A. Therapeutic</w:t>
      </w:r>
      <w:r w:rsidRPr="00412E44">
        <w:rPr>
          <w:rFonts w:asciiTheme="majorHAnsi" w:hAnsiTheme="majorHAnsi" w:cstheme="majorHAnsi"/>
        </w:rPr>
        <w:t xml:space="preserve"> approaches to epileptogenesis - Hope on the horizon’. </w:t>
      </w:r>
      <w:proofErr w:type="spellStart"/>
      <w:r w:rsidRPr="00412E44">
        <w:rPr>
          <w:rFonts w:asciiTheme="majorHAnsi" w:hAnsiTheme="majorHAnsi" w:cstheme="majorHAnsi"/>
        </w:rPr>
        <w:t>Epilepsia</w:t>
      </w:r>
      <w:proofErr w:type="spellEnd"/>
      <w:r w:rsidRPr="00412E44">
        <w:rPr>
          <w:rFonts w:asciiTheme="majorHAnsi" w:hAnsiTheme="majorHAnsi" w:cstheme="majorHAnsi"/>
        </w:rPr>
        <w:t xml:space="preserve">. </w:t>
      </w:r>
      <w:r w:rsidR="00E805EC" w:rsidRPr="00412E44">
        <w:rPr>
          <w:rFonts w:asciiTheme="majorHAnsi" w:hAnsiTheme="majorHAnsi" w:cstheme="majorHAnsi"/>
        </w:rPr>
        <w:t xml:space="preserve">2010; </w:t>
      </w:r>
      <w:r w:rsidRPr="00412E44">
        <w:rPr>
          <w:rFonts w:asciiTheme="majorHAnsi" w:hAnsiTheme="majorHAnsi" w:cstheme="majorHAnsi"/>
        </w:rPr>
        <w:t>51(Suppl 3):2-17.</w:t>
      </w:r>
    </w:p>
    <w:p w14:paraId="03E4AE4E" w14:textId="4EB64D15" w:rsidR="00A636C3" w:rsidRPr="00412E44" w:rsidRDefault="00DA6D78" w:rsidP="00161B82">
      <w:pPr>
        <w:pStyle w:val="Heading1"/>
        <w:keepNext w:val="0"/>
        <w:keepLines w:val="0"/>
        <w:shd w:val="clear" w:color="auto" w:fill="FFFFFF"/>
        <w:spacing w:before="200" w:after="200" w:line="240" w:lineRule="auto"/>
        <w:jc w:val="both"/>
        <w:rPr>
          <w:rFonts w:asciiTheme="majorHAnsi" w:hAnsiTheme="majorHAnsi" w:cstheme="majorHAnsi"/>
          <w:sz w:val="22"/>
          <w:szCs w:val="22"/>
        </w:rPr>
      </w:pPr>
      <w:bookmarkStart w:id="0" w:name="_dqz242qs0844" w:colFirst="0" w:colLast="0"/>
      <w:bookmarkEnd w:id="0"/>
      <w:r w:rsidRPr="00412E44">
        <w:rPr>
          <w:rFonts w:asciiTheme="majorHAnsi" w:hAnsiTheme="majorHAnsi" w:cstheme="majorHAnsi"/>
          <w:sz w:val="22"/>
          <w:szCs w:val="22"/>
        </w:rPr>
        <w:t>Pocock SJ. Clinical Trials - a practical approach. John Wiley &amp; Sons, Chichester - New York - Brisbane - Toronto -Singapore 1983, 265 S.</w:t>
      </w:r>
    </w:p>
    <w:p w14:paraId="42B7F792" w14:textId="6B083F16" w:rsidR="0040695C" w:rsidRPr="00412E44" w:rsidRDefault="0040695C" w:rsidP="00161B82">
      <w:pPr>
        <w:spacing w:line="240" w:lineRule="auto"/>
        <w:rPr>
          <w:rFonts w:asciiTheme="majorHAnsi" w:hAnsiTheme="majorHAnsi" w:cstheme="majorHAnsi"/>
        </w:rPr>
      </w:pPr>
      <w:r w:rsidRPr="00412E44">
        <w:rPr>
          <w:rFonts w:asciiTheme="majorHAnsi" w:hAnsiTheme="majorHAnsi" w:cstheme="majorHAnsi"/>
        </w:rPr>
        <w:t xml:space="preserve">Radu, BM, </w:t>
      </w:r>
      <w:proofErr w:type="spellStart"/>
      <w:r w:rsidRPr="00412E44">
        <w:rPr>
          <w:rFonts w:asciiTheme="majorHAnsi" w:hAnsiTheme="majorHAnsi" w:cstheme="majorHAnsi"/>
        </w:rPr>
        <w:t>Osculati</w:t>
      </w:r>
      <w:proofErr w:type="spellEnd"/>
      <w:r w:rsidRPr="00412E44">
        <w:rPr>
          <w:rFonts w:asciiTheme="majorHAnsi" w:hAnsiTheme="majorHAnsi" w:cstheme="majorHAnsi"/>
        </w:rPr>
        <w:t xml:space="preserve">, AMM., </w:t>
      </w:r>
      <w:proofErr w:type="spellStart"/>
      <w:r w:rsidRPr="00412E44">
        <w:rPr>
          <w:rFonts w:asciiTheme="majorHAnsi" w:hAnsiTheme="majorHAnsi" w:cstheme="majorHAnsi"/>
        </w:rPr>
        <w:t>Suku</w:t>
      </w:r>
      <w:proofErr w:type="spellEnd"/>
      <w:r w:rsidRPr="00412E44">
        <w:rPr>
          <w:rFonts w:asciiTheme="majorHAnsi" w:hAnsiTheme="majorHAnsi" w:cstheme="majorHAnsi"/>
        </w:rPr>
        <w:t>, E. …</w:t>
      </w:r>
      <w:proofErr w:type="spellStart"/>
      <w:r w:rsidRPr="00412E44">
        <w:rPr>
          <w:rFonts w:asciiTheme="majorHAnsi" w:hAnsiTheme="majorHAnsi" w:cstheme="majorHAnsi"/>
        </w:rPr>
        <w:t>Fabene</w:t>
      </w:r>
      <w:proofErr w:type="spellEnd"/>
      <w:r w:rsidRPr="00412E44">
        <w:rPr>
          <w:rFonts w:asciiTheme="majorHAnsi" w:hAnsiTheme="majorHAnsi" w:cstheme="majorHAnsi"/>
        </w:rPr>
        <w:t>, PF. All muscarinic acetylcholine receptors (M1-M5) are expressed in murine brain microvascular endothelium. Sci Rep 7, 2017; 5083 (7</w:t>
      </w:r>
      <w:r w:rsidR="00E805EC" w:rsidRPr="00412E44">
        <w:rPr>
          <w:rFonts w:asciiTheme="majorHAnsi" w:hAnsiTheme="majorHAnsi" w:cstheme="majorHAnsi"/>
        </w:rPr>
        <w:t xml:space="preserve">) </w:t>
      </w:r>
      <w:proofErr w:type="spellStart"/>
      <w:r w:rsidR="00E805EC" w:rsidRPr="00412E44">
        <w:rPr>
          <w:rFonts w:asciiTheme="majorHAnsi" w:hAnsiTheme="majorHAnsi" w:cstheme="majorHAnsi"/>
        </w:rPr>
        <w:t>doi</w:t>
      </w:r>
      <w:proofErr w:type="spellEnd"/>
      <w:r w:rsidRPr="00412E44">
        <w:rPr>
          <w:rFonts w:asciiTheme="majorHAnsi" w:hAnsiTheme="majorHAnsi" w:cstheme="majorHAnsi"/>
        </w:rPr>
        <w:t>:</w:t>
      </w:r>
      <w:r w:rsidR="00E805EC" w:rsidRPr="00412E44">
        <w:rPr>
          <w:rFonts w:asciiTheme="majorHAnsi" w:hAnsiTheme="majorHAnsi" w:cstheme="majorHAnsi"/>
        </w:rPr>
        <w:t xml:space="preserve"> </w:t>
      </w:r>
      <w:r w:rsidRPr="00412E44">
        <w:rPr>
          <w:rFonts w:asciiTheme="majorHAnsi" w:hAnsiTheme="majorHAnsi" w:cstheme="majorHAnsi"/>
        </w:rPr>
        <w:t>10.1038/s41598-017-05384-z</w:t>
      </w:r>
    </w:p>
    <w:p w14:paraId="76FF8B1F" w14:textId="3669139F" w:rsidR="00A636C3" w:rsidRPr="00412E44" w:rsidRDefault="00DA6D78" w:rsidP="00161B82">
      <w:pPr>
        <w:spacing w:before="200" w:after="200" w:line="240" w:lineRule="auto"/>
        <w:jc w:val="both"/>
        <w:rPr>
          <w:rFonts w:asciiTheme="majorHAnsi" w:hAnsiTheme="majorHAnsi" w:cstheme="majorHAnsi"/>
        </w:rPr>
      </w:pPr>
      <w:r w:rsidRPr="00412E44">
        <w:rPr>
          <w:rFonts w:asciiTheme="majorHAnsi" w:hAnsiTheme="majorHAnsi" w:cstheme="majorHAnsi"/>
        </w:rPr>
        <w:t>Rawlings DB, Crewe NM. Test-retest practice effects and test score changes of the WAIS-R in recovering traumatically brain-injured survivors. Clinical Neuropsychologist.1992;6:415-30. doi:10.1080/</w:t>
      </w:r>
      <w:r w:rsidR="00E805EC" w:rsidRPr="00412E44">
        <w:rPr>
          <w:rFonts w:asciiTheme="majorHAnsi" w:hAnsiTheme="majorHAnsi" w:cstheme="majorHAnsi"/>
        </w:rPr>
        <w:t>13854049208401868.</w:t>
      </w:r>
    </w:p>
    <w:p w14:paraId="44892B95" w14:textId="78229280" w:rsidR="00A636C3" w:rsidRPr="00412E44" w:rsidRDefault="00DA6D78" w:rsidP="00161B82">
      <w:pPr>
        <w:spacing w:before="200" w:after="200" w:line="240" w:lineRule="auto"/>
        <w:jc w:val="both"/>
        <w:rPr>
          <w:rFonts w:asciiTheme="majorHAnsi" w:hAnsiTheme="majorHAnsi" w:cstheme="majorHAnsi"/>
        </w:rPr>
      </w:pPr>
      <w:proofErr w:type="spellStart"/>
      <w:r w:rsidRPr="00412E44">
        <w:rPr>
          <w:rFonts w:asciiTheme="majorHAnsi" w:hAnsiTheme="majorHAnsi" w:cstheme="majorHAnsi"/>
        </w:rPr>
        <w:t>Raymont</w:t>
      </w:r>
      <w:proofErr w:type="spellEnd"/>
      <w:r w:rsidRPr="00412E44">
        <w:rPr>
          <w:rFonts w:asciiTheme="majorHAnsi" w:hAnsiTheme="majorHAnsi" w:cstheme="majorHAnsi"/>
        </w:rPr>
        <w:t xml:space="preserve"> V, Salazar AM, Lipsky R, </w:t>
      </w:r>
      <w:r w:rsidRPr="00412E44">
        <w:rPr>
          <w:rFonts w:asciiTheme="majorHAnsi" w:hAnsiTheme="majorHAnsi" w:cstheme="majorHAnsi"/>
          <w:i/>
        </w:rPr>
        <w:t>et al</w:t>
      </w:r>
      <w:r w:rsidRPr="00412E44">
        <w:rPr>
          <w:rFonts w:asciiTheme="majorHAnsi" w:hAnsiTheme="majorHAnsi" w:cstheme="majorHAnsi"/>
        </w:rPr>
        <w:t xml:space="preserve">. Correlates of posttraumatic epilepsy 35 years following combat brain injury'. Neurology.  </w:t>
      </w:r>
      <w:r w:rsidR="00E805EC" w:rsidRPr="00412E44">
        <w:rPr>
          <w:rFonts w:asciiTheme="majorHAnsi" w:hAnsiTheme="majorHAnsi" w:cstheme="majorHAnsi"/>
        </w:rPr>
        <w:t>2010; 75:224</w:t>
      </w:r>
      <w:r w:rsidRPr="00412E44">
        <w:rPr>
          <w:rFonts w:asciiTheme="majorHAnsi" w:hAnsiTheme="majorHAnsi" w:cstheme="majorHAnsi"/>
        </w:rPr>
        <w:t>-9.</w:t>
      </w:r>
    </w:p>
    <w:p w14:paraId="5D59CEC4" w14:textId="77777777" w:rsidR="00A636C3" w:rsidRPr="00412E44" w:rsidRDefault="00DA6D78" w:rsidP="00161B82">
      <w:pPr>
        <w:spacing w:before="200" w:after="200" w:line="240" w:lineRule="auto"/>
        <w:jc w:val="both"/>
        <w:rPr>
          <w:rFonts w:asciiTheme="majorHAnsi" w:hAnsiTheme="majorHAnsi" w:cstheme="majorHAnsi"/>
        </w:rPr>
      </w:pPr>
      <w:r w:rsidRPr="00412E44">
        <w:rPr>
          <w:rFonts w:asciiTheme="majorHAnsi" w:hAnsiTheme="majorHAnsi" w:cstheme="majorHAnsi"/>
        </w:rPr>
        <w:t xml:space="preserve">Rey A. </w:t>
      </w:r>
      <w:proofErr w:type="spellStart"/>
      <w:r w:rsidRPr="00412E44">
        <w:rPr>
          <w:rFonts w:asciiTheme="majorHAnsi" w:hAnsiTheme="majorHAnsi" w:cstheme="majorHAnsi"/>
        </w:rPr>
        <w:t>L’examen</w:t>
      </w:r>
      <w:proofErr w:type="spellEnd"/>
      <w:r w:rsidRPr="00412E44">
        <w:rPr>
          <w:rFonts w:asciiTheme="majorHAnsi" w:hAnsiTheme="majorHAnsi" w:cstheme="majorHAnsi"/>
        </w:rPr>
        <w:t xml:space="preserve"> </w:t>
      </w:r>
      <w:proofErr w:type="spellStart"/>
      <w:r w:rsidRPr="00412E44">
        <w:rPr>
          <w:rFonts w:asciiTheme="majorHAnsi" w:hAnsiTheme="majorHAnsi" w:cstheme="majorHAnsi"/>
        </w:rPr>
        <w:t>psychologique</w:t>
      </w:r>
      <w:proofErr w:type="spellEnd"/>
      <w:r w:rsidRPr="00412E44">
        <w:rPr>
          <w:rFonts w:asciiTheme="majorHAnsi" w:hAnsiTheme="majorHAnsi" w:cstheme="majorHAnsi"/>
        </w:rPr>
        <w:t xml:space="preserve"> dans les </w:t>
      </w:r>
      <w:proofErr w:type="spellStart"/>
      <w:r w:rsidRPr="00412E44">
        <w:rPr>
          <w:rFonts w:asciiTheme="majorHAnsi" w:hAnsiTheme="majorHAnsi" w:cstheme="majorHAnsi"/>
        </w:rPr>
        <w:t>cas</w:t>
      </w:r>
      <w:proofErr w:type="spellEnd"/>
      <w:r w:rsidRPr="00412E44">
        <w:rPr>
          <w:rFonts w:asciiTheme="majorHAnsi" w:hAnsiTheme="majorHAnsi" w:cstheme="majorHAnsi"/>
        </w:rPr>
        <w:t xml:space="preserve"> </w:t>
      </w:r>
      <w:proofErr w:type="spellStart"/>
      <w:r w:rsidRPr="00412E44">
        <w:rPr>
          <w:rFonts w:asciiTheme="majorHAnsi" w:hAnsiTheme="majorHAnsi" w:cstheme="majorHAnsi"/>
        </w:rPr>
        <w:t>d’encéphalopathie</w:t>
      </w:r>
      <w:proofErr w:type="spellEnd"/>
      <w:r w:rsidRPr="00412E44">
        <w:rPr>
          <w:rFonts w:asciiTheme="majorHAnsi" w:hAnsiTheme="majorHAnsi" w:cstheme="majorHAnsi"/>
        </w:rPr>
        <w:t xml:space="preserve"> traumatic. 1941. Arch Psychol 28:286–340.</w:t>
      </w:r>
    </w:p>
    <w:p w14:paraId="595E14A9" w14:textId="77777777"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lastRenderedPageBreak/>
        <w:t xml:space="preserve">Rey A. </w:t>
      </w:r>
      <w:proofErr w:type="spellStart"/>
      <w:r w:rsidRPr="00412E44">
        <w:rPr>
          <w:rFonts w:asciiTheme="majorHAnsi" w:hAnsiTheme="majorHAnsi" w:cstheme="majorHAnsi"/>
        </w:rPr>
        <w:t>L'examen</w:t>
      </w:r>
      <w:proofErr w:type="spellEnd"/>
      <w:r w:rsidRPr="00412E44">
        <w:rPr>
          <w:rFonts w:asciiTheme="majorHAnsi" w:hAnsiTheme="majorHAnsi" w:cstheme="majorHAnsi"/>
        </w:rPr>
        <w:t xml:space="preserve"> Clinique </w:t>
      </w:r>
      <w:proofErr w:type="spellStart"/>
      <w:r w:rsidRPr="00412E44">
        <w:rPr>
          <w:rFonts w:asciiTheme="majorHAnsi" w:hAnsiTheme="majorHAnsi" w:cstheme="majorHAnsi"/>
        </w:rPr>
        <w:t>En</w:t>
      </w:r>
      <w:proofErr w:type="spellEnd"/>
      <w:r w:rsidRPr="00412E44">
        <w:rPr>
          <w:rFonts w:asciiTheme="majorHAnsi" w:hAnsiTheme="majorHAnsi" w:cstheme="majorHAnsi"/>
        </w:rPr>
        <w:t xml:space="preserve"> Psychology. Paris: Press </w:t>
      </w:r>
      <w:proofErr w:type="spellStart"/>
      <w:r w:rsidRPr="00412E44">
        <w:rPr>
          <w:rFonts w:asciiTheme="majorHAnsi" w:hAnsiTheme="majorHAnsi" w:cstheme="majorHAnsi"/>
        </w:rPr>
        <w:t>Universitaire</w:t>
      </w:r>
      <w:proofErr w:type="spellEnd"/>
      <w:r w:rsidRPr="00412E44">
        <w:rPr>
          <w:rFonts w:asciiTheme="majorHAnsi" w:hAnsiTheme="majorHAnsi" w:cstheme="majorHAnsi"/>
        </w:rPr>
        <w:t xml:space="preserve"> de France, 1964.</w:t>
      </w:r>
    </w:p>
    <w:p w14:paraId="094B80F9" w14:textId="77777777"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Salazar AM, Grafman J. Epilepsy after penetrating head injury. I. Clinical correlates: a report of the Vietnam Head Injury Study. Neurology.1985;35(10):1406-14.</w:t>
      </w:r>
    </w:p>
    <w:p w14:paraId="309F8150" w14:textId="615B2D3D"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 xml:space="preserve">Salazar AM, Grafman J. Post-traumatic epilepsy: clinical clues to pathogenesis and paths to prevention. </w:t>
      </w:r>
      <w:proofErr w:type="spellStart"/>
      <w:r w:rsidRPr="00412E44">
        <w:rPr>
          <w:rFonts w:asciiTheme="majorHAnsi" w:hAnsiTheme="majorHAnsi" w:cstheme="majorHAnsi"/>
        </w:rPr>
        <w:t>Handb</w:t>
      </w:r>
      <w:proofErr w:type="spellEnd"/>
      <w:r w:rsidRPr="00412E44">
        <w:rPr>
          <w:rFonts w:asciiTheme="majorHAnsi" w:hAnsiTheme="majorHAnsi" w:cstheme="majorHAnsi"/>
        </w:rPr>
        <w:t xml:space="preserve"> Clin Neurol. </w:t>
      </w:r>
      <w:r w:rsidR="00E805EC" w:rsidRPr="00412E44">
        <w:rPr>
          <w:rFonts w:asciiTheme="majorHAnsi" w:hAnsiTheme="majorHAnsi" w:cstheme="majorHAnsi"/>
        </w:rPr>
        <w:t>2015; 128:525</w:t>
      </w:r>
      <w:r w:rsidRPr="00412E44">
        <w:rPr>
          <w:rFonts w:asciiTheme="majorHAnsi" w:hAnsiTheme="majorHAnsi" w:cstheme="majorHAnsi"/>
        </w:rPr>
        <w:t xml:space="preserve">-38. </w:t>
      </w:r>
    </w:p>
    <w:p w14:paraId="72309E05" w14:textId="0791C420" w:rsidR="00A636C3" w:rsidRPr="00412E44" w:rsidRDefault="00DA6D78" w:rsidP="00161B82">
      <w:pPr>
        <w:spacing w:before="240" w:after="240" w:line="240" w:lineRule="auto"/>
        <w:jc w:val="both"/>
        <w:rPr>
          <w:rFonts w:asciiTheme="majorHAnsi" w:hAnsiTheme="majorHAnsi" w:cstheme="majorHAnsi"/>
          <w:highlight w:val="white"/>
          <w:lang w:val="pt-BR"/>
        </w:rPr>
      </w:pPr>
      <w:r w:rsidRPr="00412E44">
        <w:rPr>
          <w:rFonts w:asciiTheme="majorHAnsi" w:hAnsiTheme="majorHAnsi" w:cstheme="majorHAnsi"/>
        </w:rPr>
        <w:t xml:space="preserve">Schulz KF, Altman DG, Moher D for the CONSORT Group. CONSORT 2010 Statement: updated guidelines for reporting parallel group </w:t>
      </w:r>
      <w:proofErr w:type="spellStart"/>
      <w:r w:rsidRPr="00412E44">
        <w:rPr>
          <w:rFonts w:asciiTheme="majorHAnsi" w:hAnsiTheme="majorHAnsi" w:cstheme="majorHAnsi"/>
        </w:rPr>
        <w:t>randomised</w:t>
      </w:r>
      <w:proofErr w:type="spellEnd"/>
      <w:r w:rsidRPr="00412E44">
        <w:rPr>
          <w:rFonts w:asciiTheme="majorHAnsi" w:hAnsiTheme="majorHAnsi" w:cstheme="majorHAnsi"/>
        </w:rPr>
        <w:t xml:space="preserve"> trials. </w:t>
      </w:r>
      <w:r w:rsidRPr="00412E44">
        <w:rPr>
          <w:rFonts w:asciiTheme="majorHAnsi" w:hAnsiTheme="majorHAnsi" w:cstheme="majorHAnsi"/>
          <w:highlight w:val="white"/>
          <w:lang w:val="pt-BR"/>
        </w:rPr>
        <w:t xml:space="preserve">BMJ. 2010; 340:c332. Disponível em: </w:t>
      </w:r>
      <w:hyperlink r:id="rId24">
        <w:r w:rsidRPr="00412E44">
          <w:rPr>
            <w:rFonts w:asciiTheme="majorHAnsi" w:hAnsiTheme="majorHAnsi" w:cstheme="majorHAnsi"/>
            <w:highlight w:val="white"/>
            <w:u w:val="single"/>
            <w:lang w:val="pt-BR"/>
          </w:rPr>
          <w:t>https://www.bmj.com/content/340/bmj.c332</w:t>
        </w:r>
      </w:hyperlink>
      <w:r w:rsidRPr="00412E44">
        <w:rPr>
          <w:rFonts w:asciiTheme="majorHAnsi" w:hAnsiTheme="majorHAnsi" w:cstheme="majorHAnsi"/>
          <w:highlight w:val="white"/>
          <w:lang w:val="pt-BR"/>
        </w:rPr>
        <w:t xml:space="preserve">. Acessado em 18 de outubro de 2019.  doi: </w:t>
      </w:r>
      <w:hyperlink r:id="rId25">
        <w:r w:rsidRPr="00412E44">
          <w:rPr>
            <w:rFonts w:asciiTheme="majorHAnsi" w:hAnsiTheme="majorHAnsi" w:cstheme="majorHAnsi"/>
            <w:highlight w:val="white"/>
            <w:lang w:val="pt-BR"/>
          </w:rPr>
          <w:t>https://doi.org/10.1136/bmj.c332</w:t>
        </w:r>
      </w:hyperlink>
      <w:r w:rsidRPr="00412E44">
        <w:rPr>
          <w:rFonts w:asciiTheme="majorHAnsi" w:hAnsiTheme="majorHAnsi" w:cstheme="majorHAnsi"/>
          <w:highlight w:val="white"/>
          <w:lang w:val="pt-BR"/>
        </w:rPr>
        <w:t>.</w:t>
      </w:r>
    </w:p>
    <w:p w14:paraId="7245837B" w14:textId="42CD3BFC" w:rsidR="00DE75FD" w:rsidRPr="00412E44" w:rsidRDefault="00DE75FD" w:rsidP="00161B82">
      <w:pPr>
        <w:spacing w:before="240" w:after="240" w:line="240" w:lineRule="auto"/>
        <w:jc w:val="both"/>
        <w:rPr>
          <w:rFonts w:asciiTheme="majorHAnsi" w:hAnsiTheme="majorHAnsi" w:cstheme="majorHAnsi"/>
          <w:highlight w:val="white"/>
          <w:lang w:val="pt-BR"/>
        </w:rPr>
      </w:pPr>
      <w:r w:rsidRPr="00412E44">
        <w:rPr>
          <w:rFonts w:asciiTheme="majorHAnsi" w:hAnsiTheme="majorHAnsi" w:cstheme="majorHAnsi"/>
          <w:color w:val="222222"/>
          <w:shd w:val="clear" w:color="auto" w:fill="FFFFFF"/>
          <w:lang w:val="pt-BR"/>
        </w:rPr>
        <w:t xml:space="preserve">Santos, MF, dos Santos Silva, TDC, de Carvalho, FR, Barbosa, RL, dos Santos, LH, &amp; de Matos Junior, EM. </w:t>
      </w:r>
      <w:r w:rsidR="00FE5CD7" w:rsidRPr="00412E44">
        <w:rPr>
          <w:rFonts w:asciiTheme="majorHAnsi" w:hAnsiTheme="majorHAnsi" w:cstheme="majorHAnsi"/>
          <w:color w:val="222222"/>
          <w:shd w:val="clear" w:color="auto" w:fill="FFFFFF"/>
          <w:lang w:val="pt-BR"/>
        </w:rPr>
        <w:t>TCE em UTI: Epidemiologia, tratamento e mortalidade no maranhão, brasil</w:t>
      </w:r>
      <w:r w:rsidRPr="00412E44">
        <w:rPr>
          <w:rFonts w:asciiTheme="majorHAnsi" w:hAnsiTheme="majorHAnsi" w:cstheme="majorHAnsi"/>
          <w:color w:val="222222"/>
          <w:shd w:val="clear" w:color="auto" w:fill="FFFFFF"/>
          <w:lang w:val="pt-BR"/>
        </w:rPr>
        <w:t>. </w:t>
      </w:r>
      <w:r w:rsidRPr="00412E44">
        <w:rPr>
          <w:rFonts w:asciiTheme="majorHAnsi" w:hAnsiTheme="majorHAnsi" w:cstheme="majorHAnsi"/>
          <w:iCs/>
          <w:color w:val="222222"/>
          <w:shd w:val="clear" w:color="auto" w:fill="FFFFFF"/>
          <w:lang w:val="pt-BR"/>
        </w:rPr>
        <w:t>Revista Brasileira de Neurologia e Psiquiatria</w:t>
      </w:r>
      <w:r w:rsidR="00FE5CD7" w:rsidRPr="00412E44">
        <w:rPr>
          <w:rFonts w:asciiTheme="majorHAnsi" w:hAnsiTheme="majorHAnsi" w:cstheme="majorHAnsi"/>
          <w:color w:val="222222"/>
          <w:shd w:val="clear" w:color="auto" w:fill="FFFFFF"/>
          <w:lang w:val="pt-BR"/>
        </w:rPr>
        <w:t>. 2019:</w:t>
      </w:r>
      <w:r w:rsidRPr="00412E44">
        <w:rPr>
          <w:rFonts w:asciiTheme="majorHAnsi" w:hAnsiTheme="majorHAnsi" w:cstheme="majorHAnsi"/>
          <w:color w:val="222222"/>
          <w:shd w:val="clear" w:color="auto" w:fill="FFFFFF"/>
          <w:lang w:val="pt-BR"/>
        </w:rPr>
        <w:t> </w:t>
      </w:r>
      <w:r w:rsidRPr="00412E44">
        <w:rPr>
          <w:rFonts w:asciiTheme="majorHAnsi" w:hAnsiTheme="majorHAnsi" w:cstheme="majorHAnsi"/>
          <w:i/>
          <w:iCs/>
          <w:color w:val="222222"/>
          <w:shd w:val="clear" w:color="auto" w:fill="FFFFFF"/>
          <w:lang w:val="pt-BR"/>
        </w:rPr>
        <w:t>23</w:t>
      </w:r>
      <w:r w:rsidRPr="00412E44">
        <w:rPr>
          <w:rFonts w:asciiTheme="majorHAnsi" w:hAnsiTheme="majorHAnsi" w:cstheme="majorHAnsi"/>
          <w:color w:val="222222"/>
          <w:shd w:val="clear" w:color="auto" w:fill="FFFFFF"/>
          <w:lang w:val="pt-BR"/>
        </w:rPr>
        <w:t>(1).</w:t>
      </w:r>
    </w:p>
    <w:p w14:paraId="4E2B1C5A" w14:textId="77777777"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lang w:val="pt-BR"/>
        </w:rPr>
        <w:t xml:space="preserve">Sedo MA. Test de los cinco dígitos [Five digit test]. </w:t>
      </w:r>
      <w:r w:rsidRPr="00412E44">
        <w:rPr>
          <w:rFonts w:asciiTheme="majorHAnsi" w:hAnsiTheme="majorHAnsi" w:cstheme="majorHAnsi"/>
        </w:rPr>
        <w:t xml:space="preserve">Madrid: TEA </w:t>
      </w:r>
      <w:proofErr w:type="spellStart"/>
      <w:r w:rsidRPr="00412E44">
        <w:rPr>
          <w:rFonts w:asciiTheme="majorHAnsi" w:hAnsiTheme="majorHAnsi" w:cstheme="majorHAnsi"/>
        </w:rPr>
        <w:t>Ediciones</w:t>
      </w:r>
      <w:proofErr w:type="spellEnd"/>
      <w:r w:rsidRPr="00412E44">
        <w:rPr>
          <w:rFonts w:asciiTheme="majorHAnsi" w:hAnsiTheme="majorHAnsi" w:cstheme="majorHAnsi"/>
        </w:rPr>
        <w:t>; 2005</w:t>
      </w:r>
    </w:p>
    <w:p w14:paraId="66EB9052" w14:textId="77777777"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Stroop, J.R. (1935). Studies of interference in serial verbal reaction. Journal of Experimental Psychology, 18, 643-662.</w:t>
      </w:r>
    </w:p>
    <w:p w14:paraId="760C7BA4" w14:textId="77777777" w:rsidR="00A636C3" w:rsidRPr="00412E44" w:rsidRDefault="00DA6D78" w:rsidP="00161B82">
      <w:pPr>
        <w:spacing w:before="240" w:after="240" w:line="240" w:lineRule="auto"/>
        <w:jc w:val="both"/>
        <w:rPr>
          <w:rFonts w:asciiTheme="majorHAnsi" w:hAnsiTheme="majorHAnsi" w:cstheme="majorHAnsi"/>
          <w:highlight w:val="white"/>
        </w:rPr>
      </w:pPr>
      <w:r w:rsidRPr="00412E44">
        <w:rPr>
          <w:rFonts w:asciiTheme="majorHAnsi" w:hAnsiTheme="majorHAnsi" w:cstheme="majorHAnsi"/>
          <w:highlight w:val="white"/>
        </w:rPr>
        <w:t xml:space="preserve">Temkin NR, </w:t>
      </w:r>
      <w:proofErr w:type="spellStart"/>
      <w:r w:rsidRPr="00412E44">
        <w:rPr>
          <w:rFonts w:asciiTheme="majorHAnsi" w:hAnsiTheme="majorHAnsi" w:cstheme="majorHAnsi"/>
          <w:highlight w:val="white"/>
        </w:rPr>
        <w:t>Dikmen</w:t>
      </w:r>
      <w:proofErr w:type="spellEnd"/>
      <w:r w:rsidRPr="00412E44">
        <w:rPr>
          <w:rFonts w:asciiTheme="majorHAnsi" w:hAnsiTheme="majorHAnsi" w:cstheme="majorHAnsi"/>
          <w:highlight w:val="white"/>
        </w:rPr>
        <w:t xml:space="preserve"> SS, Wilensky AJ, </w:t>
      </w:r>
      <w:proofErr w:type="spellStart"/>
      <w:r w:rsidRPr="00412E44">
        <w:rPr>
          <w:rFonts w:asciiTheme="majorHAnsi" w:hAnsiTheme="majorHAnsi" w:cstheme="majorHAnsi"/>
          <w:highlight w:val="white"/>
        </w:rPr>
        <w:t>Keihm</w:t>
      </w:r>
      <w:proofErr w:type="spellEnd"/>
      <w:r w:rsidRPr="00412E44">
        <w:rPr>
          <w:rFonts w:asciiTheme="majorHAnsi" w:hAnsiTheme="majorHAnsi" w:cstheme="majorHAnsi"/>
          <w:highlight w:val="white"/>
        </w:rPr>
        <w:t xml:space="preserve"> J, Chabal S, Winn HR. A Randomized, Double-Blind Study of Phenytoin for the Prevention of Post-Traumatic Seizures. N </w:t>
      </w:r>
      <w:proofErr w:type="spellStart"/>
      <w:r w:rsidRPr="00412E44">
        <w:rPr>
          <w:rFonts w:asciiTheme="majorHAnsi" w:hAnsiTheme="majorHAnsi" w:cstheme="majorHAnsi"/>
          <w:highlight w:val="white"/>
        </w:rPr>
        <w:t>Engl</w:t>
      </w:r>
      <w:proofErr w:type="spellEnd"/>
      <w:r w:rsidRPr="00412E44">
        <w:rPr>
          <w:rFonts w:asciiTheme="majorHAnsi" w:hAnsiTheme="majorHAnsi" w:cstheme="majorHAnsi"/>
          <w:highlight w:val="white"/>
        </w:rPr>
        <w:t xml:space="preserve"> J Med. 1990;323(8):497-502. </w:t>
      </w:r>
    </w:p>
    <w:p w14:paraId="57F04B52" w14:textId="77777777" w:rsidR="00A636C3" w:rsidRPr="00412E44" w:rsidRDefault="00DA6D78" w:rsidP="00161B82">
      <w:pPr>
        <w:spacing w:before="240" w:after="240" w:line="240" w:lineRule="auto"/>
        <w:jc w:val="both"/>
        <w:rPr>
          <w:rFonts w:asciiTheme="majorHAnsi" w:hAnsiTheme="majorHAnsi" w:cstheme="majorHAnsi"/>
          <w:highlight w:val="white"/>
        </w:rPr>
      </w:pPr>
      <w:r w:rsidRPr="00412E44">
        <w:rPr>
          <w:rFonts w:asciiTheme="majorHAnsi" w:hAnsiTheme="majorHAnsi" w:cstheme="majorHAnsi"/>
          <w:highlight w:val="white"/>
        </w:rPr>
        <w:t xml:space="preserve">Temkin NR. Antiepileptogenesis and Seizure Prevention Trials with Antiepileptic Drugs: Meta-Analysis of Controlled Trials. </w:t>
      </w:r>
      <w:proofErr w:type="spellStart"/>
      <w:r w:rsidRPr="00412E44">
        <w:rPr>
          <w:rFonts w:asciiTheme="majorHAnsi" w:hAnsiTheme="majorHAnsi" w:cstheme="majorHAnsi"/>
          <w:highlight w:val="white"/>
        </w:rPr>
        <w:t>Epilepsia</w:t>
      </w:r>
      <w:proofErr w:type="spellEnd"/>
      <w:r w:rsidRPr="00412E44">
        <w:rPr>
          <w:rFonts w:asciiTheme="majorHAnsi" w:hAnsiTheme="majorHAnsi" w:cstheme="majorHAnsi"/>
          <w:highlight w:val="white"/>
        </w:rPr>
        <w:t>. 2001;42(4):515-24.</w:t>
      </w:r>
    </w:p>
    <w:p w14:paraId="388675A9" w14:textId="77777777" w:rsidR="00A636C3" w:rsidRPr="00412E44" w:rsidRDefault="00DA6D78" w:rsidP="00161B82">
      <w:pPr>
        <w:spacing w:before="240" w:after="240" w:line="240" w:lineRule="auto"/>
        <w:jc w:val="both"/>
        <w:rPr>
          <w:rFonts w:asciiTheme="majorHAnsi" w:hAnsiTheme="majorHAnsi" w:cstheme="majorHAnsi"/>
          <w:highlight w:val="white"/>
        </w:rPr>
      </w:pPr>
      <w:r w:rsidRPr="00412E44">
        <w:rPr>
          <w:rFonts w:asciiTheme="majorHAnsi" w:hAnsiTheme="majorHAnsi" w:cstheme="majorHAnsi"/>
          <w:highlight w:val="white"/>
        </w:rPr>
        <w:t xml:space="preserve">Temkin NR. Risk Factors for Posttraumatic Seizures in Adults </w:t>
      </w:r>
      <w:proofErr w:type="spellStart"/>
      <w:r w:rsidRPr="00412E44">
        <w:rPr>
          <w:rFonts w:asciiTheme="majorHAnsi" w:hAnsiTheme="majorHAnsi" w:cstheme="majorHAnsi"/>
          <w:highlight w:val="white"/>
        </w:rPr>
        <w:t>Epilepsia</w:t>
      </w:r>
      <w:proofErr w:type="spellEnd"/>
      <w:r w:rsidRPr="00412E44">
        <w:rPr>
          <w:rFonts w:asciiTheme="majorHAnsi" w:hAnsiTheme="majorHAnsi" w:cstheme="majorHAnsi"/>
          <w:highlight w:val="white"/>
        </w:rPr>
        <w:t xml:space="preserve">. 2003;44(Suppl10):18-20. </w:t>
      </w:r>
    </w:p>
    <w:p w14:paraId="195CAB50" w14:textId="77777777" w:rsidR="00A636C3" w:rsidRPr="00412E44" w:rsidRDefault="00DA6D78" w:rsidP="00161B82">
      <w:pPr>
        <w:spacing w:before="240" w:after="240" w:line="240" w:lineRule="auto"/>
        <w:jc w:val="both"/>
        <w:rPr>
          <w:rFonts w:asciiTheme="majorHAnsi" w:hAnsiTheme="majorHAnsi" w:cstheme="majorHAnsi"/>
          <w:highlight w:val="white"/>
        </w:rPr>
      </w:pPr>
      <w:r w:rsidRPr="00412E44">
        <w:rPr>
          <w:rFonts w:asciiTheme="majorHAnsi" w:hAnsiTheme="majorHAnsi" w:cstheme="majorHAnsi"/>
          <w:highlight w:val="white"/>
        </w:rPr>
        <w:t xml:space="preserve">Verellen RM, Cavazos JE. Post-traumatic epilepsy: an overview. Therapy. 2010;7(5):527–31. doi:10.2217/THY.10.57 </w:t>
      </w:r>
    </w:p>
    <w:bookmarkStart w:id="1" w:name="_trpwfuiljo7j" w:colFirst="0" w:colLast="0"/>
    <w:bookmarkEnd w:id="1"/>
    <w:p w14:paraId="1324EA84" w14:textId="77777777" w:rsidR="00A636C3" w:rsidRPr="00412E44" w:rsidRDefault="00DA6D78" w:rsidP="00161B82">
      <w:pPr>
        <w:pStyle w:val="Heading1"/>
        <w:keepNext w:val="0"/>
        <w:keepLines w:val="0"/>
        <w:shd w:val="clear" w:color="auto" w:fill="FFFFFF"/>
        <w:spacing w:before="240" w:after="240" w:line="240" w:lineRule="auto"/>
        <w:jc w:val="both"/>
        <w:rPr>
          <w:rFonts w:asciiTheme="majorHAnsi" w:hAnsiTheme="majorHAnsi" w:cstheme="majorHAnsi"/>
          <w:sz w:val="22"/>
          <w:szCs w:val="22"/>
          <w:highlight w:val="white"/>
        </w:rPr>
      </w:pPr>
      <w:r w:rsidRPr="00412E44">
        <w:rPr>
          <w:rFonts w:asciiTheme="majorHAnsi" w:hAnsiTheme="majorHAnsi" w:cstheme="majorHAnsi"/>
        </w:rPr>
        <w:fldChar w:fldCharType="begin"/>
      </w:r>
      <w:r w:rsidRPr="00412E44">
        <w:rPr>
          <w:rFonts w:asciiTheme="majorHAnsi" w:hAnsiTheme="majorHAnsi" w:cstheme="majorHAnsi"/>
        </w:rPr>
        <w:instrText xml:space="preserve"> HYPERLINK "https://www.ncbi.nlm.nih.gov/pubmed/?term=von%20Steinb%C3%BCchel%20N%5BAuthor%5D&amp;cauthor=true&amp;cauthor_uid=20210602" \h </w:instrText>
      </w:r>
      <w:r w:rsidRPr="00412E44">
        <w:rPr>
          <w:rFonts w:asciiTheme="majorHAnsi" w:hAnsiTheme="majorHAnsi" w:cstheme="majorHAnsi"/>
        </w:rPr>
        <w:fldChar w:fldCharType="separate"/>
      </w:r>
      <w:r w:rsidRPr="00412E44">
        <w:rPr>
          <w:rFonts w:asciiTheme="majorHAnsi" w:hAnsiTheme="majorHAnsi" w:cstheme="majorHAnsi"/>
          <w:sz w:val="22"/>
          <w:szCs w:val="22"/>
          <w:highlight w:val="white"/>
        </w:rPr>
        <w:t xml:space="preserve">von </w:t>
      </w:r>
      <w:proofErr w:type="spellStart"/>
      <w:r w:rsidRPr="00412E44">
        <w:rPr>
          <w:rFonts w:asciiTheme="majorHAnsi" w:hAnsiTheme="majorHAnsi" w:cstheme="majorHAnsi"/>
          <w:sz w:val="22"/>
          <w:szCs w:val="22"/>
          <w:highlight w:val="white"/>
        </w:rPr>
        <w:t>Steinbüchel</w:t>
      </w:r>
      <w:proofErr w:type="spellEnd"/>
      <w:r w:rsidRPr="00412E44">
        <w:rPr>
          <w:rFonts w:asciiTheme="majorHAnsi" w:hAnsiTheme="majorHAnsi" w:cstheme="majorHAnsi"/>
          <w:sz w:val="22"/>
          <w:szCs w:val="22"/>
          <w:highlight w:val="white"/>
        </w:rPr>
        <w:t xml:space="preserve"> N</w:t>
      </w:r>
      <w:r w:rsidRPr="00412E44">
        <w:rPr>
          <w:rFonts w:asciiTheme="majorHAnsi" w:hAnsiTheme="majorHAnsi" w:cstheme="majorHAnsi"/>
          <w:sz w:val="22"/>
          <w:szCs w:val="22"/>
          <w:highlight w:val="white"/>
        </w:rPr>
        <w:fldChar w:fldCharType="end"/>
      </w:r>
      <w:r w:rsidRPr="00412E44">
        <w:rPr>
          <w:rFonts w:asciiTheme="majorHAnsi" w:hAnsiTheme="majorHAnsi" w:cstheme="majorHAnsi"/>
          <w:sz w:val="22"/>
          <w:szCs w:val="22"/>
          <w:highlight w:val="white"/>
        </w:rPr>
        <w:t xml:space="preserve">, </w:t>
      </w:r>
      <w:hyperlink r:id="rId26">
        <w:r w:rsidRPr="00412E44">
          <w:rPr>
            <w:rFonts w:asciiTheme="majorHAnsi" w:hAnsiTheme="majorHAnsi" w:cstheme="majorHAnsi"/>
            <w:sz w:val="22"/>
            <w:szCs w:val="22"/>
            <w:highlight w:val="white"/>
          </w:rPr>
          <w:t>Wilson L</w:t>
        </w:r>
      </w:hyperlink>
      <w:r w:rsidRPr="00412E44">
        <w:rPr>
          <w:rFonts w:asciiTheme="majorHAnsi" w:hAnsiTheme="majorHAnsi" w:cstheme="majorHAnsi"/>
          <w:sz w:val="22"/>
          <w:szCs w:val="22"/>
          <w:highlight w:val="white"/>
        </w:rPr>
        <w:t xml:space="preserve">, </w:t>
      </w:r>
      <w:hyperlink r:id="rId27">
        <w:r w:rsidRPr="00412E44">
          <w:rPr>
            <w:rFonts w:asciiTheme="majorHAnsi" w:hAnsiTheme="majorHAnsi" w:cstheme="majorHAnsi"/>
            <w:sz w:val="22"/>
            <w:szCs w:val="22"/>
            <w:highlight w:val="white"/>
          </w:rPr>
          <w:t>Gibbons H</w:t>
        </w:r>
      </w:hyperlink>
      <w:r w:rsidRPr="00412E44">
        <w:rPr>
          <w:rFonts w:asciiTheme="majorHAnsi" w:hAnsiTheme="majorHAnsi" w:cstheme="majorHAnsi"/>
          <w:sz w:val="22"/>
          <w:szCs w:val="22"/>
          <w:highlight w:val="white"/>
        </w:rPr>
        <w:t>,</w:t>
      </w:r>
      <w:r w:rsidRPr="00412E44">
        <w:rPr>
          <w:rFonts w:asciiTheme="majorHAnsi" w:hAnsiTheme="majorHAnsi" w:cstheme="majorHAnsi"/>
          <w:i/>
          <w:sz w:val="22"/>
          <w:szCs w:val="22"/>
          <w:highlight w:val="white"/>
        </w:rPr>
        <w:t xml:space="preserve"> et al </w:t>
      </w:r>
      <w:r w:rsidRPr="00412E44">
        <w:rPr>
          <w:rFonts w:asciiTheme="majorHAnsi" w:hAnsiTheme="majorHAnsi" w:cstheme="majorHAnsi"/>
          <w:sz w:val="22"/>
          <w:szCs w:val="22"/>
          <w:highlight w:val="white"/>
        </w:rPr>
        <w:t xml:space="preserve">for </w:t>
      </w:r>
      <w:hyperlink r:id="rId28">
        <w:r w:rsidRPr="00412E44">
          <w:rPr>
            <w:rFonts w:asciiTheme="majorHAnsi" w:hAnsiTheme="majorHAnsi" w:cstheme="majorHAnsi"/>
            <w:sz w:val="22"/>
            <w:szCs w:val="22"/>
            <w:highlight w:val="white"/>
          </w:rPr>
          <w:t xml:space="preserve">QOLIBRI Task </w:t>
        </w:r>
        <w:proofErr w:type="spellStart"/>
        <w:r w:rsidRPr="00412E44">
          <w:rPr>
            <w:rFonts w:asciiTheme="majorHAnsi" w:hAnsiTheme="majorHAnsi" w:cstheme="majorHAnsi"/>
            <w:sz w:val="22"/>
            <w:szCs w:val="22"/>
            <w:highlight w:val="white"/>
          </w:rPr>
          <w:t>Force</w:t>
        </w:r>
      </w:hyperlink>
      <w:r w:rsidRPr="00412E44">
        <w:rPr>
          <w:rFonts w:asciiTheme="majorHAnsi" w:hAnsiTheme="majorHAnsi" w:cstheme="majorHAnsi"/>
          <w:sz w:val="22"/>
          <w:szCs w:val="22"/>
          <w:highlight w:val="white"/>
        </w:rPr>
        <w:t>.Quality</w:t>
      </w:r>
      <w:proofErr w:type="spellEnd"/>
      <w:r w:rsidRPr="00412E44">
        <w:rPr>
          <w:rFonts w:asciiTheme="majorHAnsi" w:hAnsiTheme="majorHAnsi" w:cstheme="majorHAnsi"/>
          <w:sz w:val="22"/>
          <w:szCs w:val="22"/>
          <w:highlight w:val="white"/>
        </w:rPr>
        <w:t xml:space="preserve"> of Life after Brain Injury (QOLIBRI): scale validity and correlates of quality of </w:t>
      </w:r>
      <w:proofErr w:type="spellStart"/>
      <w:r w:rsidRPr="00412E44">
        <w:rPr>
          <w:rFonts w:asciiTheme="majorHAnsi" w:hAnsiTheme="majorHAnsi" w:cstheme="majorHAnsi"/>
          <w:sz w:val="22"/>
          <w:szCs w:val="22"/>
          <w:highlight w:val="white"/>
        </w:rPr>
        <w:t>life.</w:t>
      </w:r>
      <w:hyperlink r:id="rId29">
        <w:r w:rsidRPr="00412E44">
          <w:rPr>
            <w:rFonts w:asciiTheme="majorHAnsi" w:hAnsiTheme="majorHAnsi" w:cstheme="majorHAnsi"/>
            <w:sz w:val="22"/>
            <w:szCs w:val="22"/>
            <w:highlight w:val="white"/>
          </w:rPr>
          <w:t>J</w:t>
        </w:r>
        <w:proofErr w:type="spellEnd"/>
        <w:r w:rsidRPr="00412E44">
          <w:rPr>
            <w:rFonts w:asciiTheme="majorHAnsi" w:hAnsiTheme="majorHAnsi" w:cstheme="majorHAnsi"/>
            <w:sz w:val="22"/>
            <w:szCs w:val="22"/>
            <w:highlight w:val="white"/>
          </w:rPr>
          <w:t xml:space="preserve"> Neurotrauma.</w:t>
        </w:r>
      </w:hyperlink>
      <w:r w:rsidRPr="00412E44">
        <w:rPr>
          <w:rFonts w:asciiTheme="majorHAnsi" w:hAnsiTheme="majorHAnsi" w:cstheme="majorHAnsi"/>
          <w:sz w:val="22"/>
          <w:szCs w:val="22"/>
          <w:highlight w:val="white"/>
        </w:rPr>
        <w:t xml:space="preserve"> 2010;27(7):1157-65. </w:t>
      </w:r>
      <w:proofErr w:type="spellStart"/>
      <w:r w:rsidRPr="00412E44">
        <w:rPr>
          <w:rFonts w:asciiTheme="majorHAnsi" w:hAnsiTheme="majorHAnsi" w:cstheme="majorHAnsi"/>
          <w:sz w:val="22"/>
          <w:szCs w:val="22"/>
          <w:highlight w:val="white"/>
        </w:rPr>
        <w:t>doi</w:t>
      </w:r>
      <w:proofErr w:type="spellEnd"/>
      <w:r w:rsidRPr="00412E44">
        <w:rPr>
          <w:rFonts w:asciiTheme="majorHAnsi" w:hAnsiTheme="majorHAnsi" w:cstheme="majorHAnsi"/>
          <w:sz w:val="22"/>
          <w:szCs w:val="22"/>
          <w:highlight w:val="white"/>
        </w:rPr>
        <w:t>: 10.1089/neu.2009.1077.</w:t>
      </w:r>
    </w:p>
    <w:p w14:paraId="0A458440" w14:textId="01E35701"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 xml:space="preserve">Wechsler D. A standardized memory scale for clinical use. Journal of Psychology. </w:t>
      </w:r>
      <w:r w:rsidR="00E805EC" w:rsidRPr="00412E44">
        <w:rPr>
          <w:rFonts w:asciiTheme="majorHAnsi" w:hAnsiTheme="majorHAnsi" w:cstheme="majorHAnsi"/>
        </w:rPr>
        <w:t>1945; 19:87</w:t>
      </w:r>
      <w:r w:rsidRPr="00412E44">
        <w:rPr>
          <w:rFonts w:asciiTheme="majorHAnsi" w:hAnsiTheme="majorHAnsi" w:cstheme="majorHAnsi"/>
        </w:rPr>
        <w:t>-95. doi:10.1080/ 00223980.1945.9917223.</w:t>
      </w:r>
    </w:p>
    <w:p w14:paraId="27EF4ADE" w14:textId="77777777" w:rsidR="00A636C3" w:rsidRPr="00412E44" w:rsidRDefault="00DA6D78" w:rsidP="00161B82">
      <w:pPr>
        <w:spacing w:before="240" w:after="240" w:line="240" w:lineRule="auto"/>
        <w:jc w:val="both"/>
        <w:rPr>
          <w:rFonts w:asciiTheme="majorHAnsi" w:hAnsiTheme="majorHAnsi" w:cstheme="majorHAnsi"/>
        </w:rPr>
      </w:pPr>
      <w:r w:rsidRPr="00412E44">
        <w:rPr>
          <w:rFonts w:asciiTheme="majorHAnsi" w:hAnsiTheme="majorHAnsi" w:cstheme="majorHAnsi"/>
        </w:rPr>
        <w:t>Wechsler D. (2008). Wechsler adult intelligence scale–Fourth Edition (WAIS–IV). San Antonio, TX: Pearson</w:t>
      </w:r>
    </w:p>
    <w:p w14:paraId="2217E24B" w14:textId="77777777" w:rsidR="00A636C3" w:rsidRPr="00412E44" w:rsidRDefault="00DA6D78" w:rsidP="00161B82">
      <w:pPr>
        <w:shd w:val="clear" w:color="auto" w:fill="FFFFFF"/>
        <w:spacing w:after="200" w:line="240" w:lineRule="auto"/>
        <w:jc w:val="both"/>
        <w:rPr>
          <w:rFonts w:asciiTheme="majorHAnsi" w:hAnsiTheme="majorHAnsi" w:cstheme="majorHAnsi"/>
          <w:lang w:val="pt-BR"/>
        </w:rPr>
      </w:pPr>
      <w:r w:rsidRPr="00412E44">
        <w:rPr>
          <w:rFonts w:asciiTheme="majorHAnsi" w:hAnsiTheme="majorHAnsi" w:cstheme="majorHAnsi"/>
        </w:rPr>
        <w:t xml:space="preserve">World Medical Association. Declaration of Helsinki. Ethical principles for medical research involving human subjects. </w:t>
      </w:r>
      <w:r w:rsidRPr="00412E44">
        <w:rPr>
          <w:rFonts w:asciiTheme="majorHAnsi" w:hAnsiTheme="majorHAnsi" w:cstheme="majorHAnsi"/>
          <w:lang w:val="pt-BR"/>
        </w:rPr>
        <w:t xml:space="preserve">[Internet]. 59th WMA General Assembly, Seoul, oct. 2008.  Disponível em: </w:t>
      </w:r>
      <w:hyperlink r:id="rId30">
        <w:r w:rsidRPr="00412E44">
          <w:rPr>
            <w:rFonts w:asciiTheme="majorHAnsi" w:hAnsiTheme="majorHAnsi" w:cstheme="majorHAnsi"/>
            <w:color w:val="1155CC"/>
            <w:u w:val="single"/>
            <w:lang w:val="pt-BR"/>
          </w:rPr>
          <w:t>http://www.wma.net/en/30publications/10policies/b3/17c.pdf</w:t>
        </w:r>
      </w:hyperlink>
      <w:r w:rsidRPr="00412E44">
        <w:rPr>
          <w:rFonts w:asciiTheme="majorHAnsi" w:hAnsiTheme="majorHAnsi" w:cstheme="majorHAnsi"/>
          <w:lang w:val="pt-BR"/>
        </w:rPr>
        <w:t>. Acessado em 23 de outubro de 2019.</w:t>
      </w:r>
    </w:p>
    <w:p w14:paraId="09512134" w14:textId="77777777" w:rsidR="00A636C3" w:rsidRPr="00412E44" w:rsidRDefault="00DA6D78" w:rsidP="00161B82">
      <w:pPr>
        <w:spacing w:after="200" w:line="240" w:lineRule="auto"/>
        <w:jc w:val="both"/>
        <w:rPr>
          <w:rFonts w:asciiTheme="majorHAnsi" w:hAnsiTheme="majorHAnsi" w:cstheme="majorHAnsi"/>
        </w:rPr>
      </w:pPr>
      <w:proofErr w:type="spellStart"/>
      <w:r w:rsidRPr="00412E44">
        <w:rPr>
          <w:rFonts w:asciiTheme="majorHAnsi" w:hAnsiTheme="majorHAnsi" w:cstheme="majorHAnsi"/>
        </w:rPr>
        <w:t>Yablon</w:t>
      </w:r>
      <w:proofErr w:type="spellEnd"/>
      <w:r w:rsidRPr="00412E44">
        <w:rPr>
          <w:rFonts w:asciiTheme="majorHAnsi" w:hAnsiTheme="majorHAnsi" w:cstheme="majorHAnsi"/>
        </w:rPr>
        <w:t xml:space="preserve"> SA. Posttraumatic seizures. Archives of physical medicine and rehabilitation.1993; 74(9):983-1001. </w:t>
      </w:r>
    </w:p>
    <w:sectPr w:rsidR="00A636C3" w:rsidRPr="00412E44">
      <w:headerReference w:type="default" r:id="rId31"/>
      <w:footerReference w:type="default" r:id="rId32"/>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BC4C" w14:textId="77777777" w:rsidR="00DD72EE" w:rsidRDefault="00DD72EE">
      <w:pPr>
        <w:spacing w:line="240" w:lineRule="auto"/>
      </w:pPr>
      <w:r>
        <w:separator/>
      </w:r>
    </w:p>
  </w:endnote>
  <w:endnote w:type="continuationSeparator" w:id="0">
    <w:p w14:paraId="5E252CA1" w14:textId="77777777" w:rsidR="00DD72EE" w:rsidRDefault="00DD7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8B04" w14:textId="7E6CB5BD" w:rsidR="00E9579A" w:rsidRDefault="00E9579A">
    <w:pPr>
      <w:pStyle w:val="Footer"/>
      <w:jc w:val="right"/>
    </w:pPr>
    <w:r>
      <w:t xml:space="preserve"> </w:t>
    </w:r>
    <w:proofErr w:type="spellStart"/>
    <w:r>
      <w:t>Versão</w:t>
    </w:r>
    <w:proofErr w:type="spellEnd"/>
    <w:r>
      <w:t xml:space="preserve"> 4.0 – </w:t>
    </w:r>
    <w:proofErr w:type="spellStart"/>
    <w:r>
      <w:t>Outubro</w:t>
    </w:r>
    <w:proofErr w:type="spellEnd"/>
    <w:r>
      <w:t xml:space="preserve"> de 2021                                                </w:t>
    </w:r>
    <w:sdt>
      <w:sdtPr>
        <w:id w:val="-1766150473"/>
        <w:docPartObj>
          <w:docPartGallery w:val="Page Numbers (Bottom of Page)"/>
          <w:docPartUnique/>
        </w:docPartObj>
      </w:sdtPr>
      <w:sdtContent>
        <w:r>
          <w:fldChar w:fldCharType="begin"/>
        </w:r>
        <w:r>
          <w:instrText>PAGE   \* MERGEFORMAT</w:instrText>
        </w:r>
        <w:r>
          <w:fldChar w:fldCharType="separate"/>
        </w:r>
        <w:r w:rsidR="002904B4" w:rsidRPr="002904B4">
          <w:rPr>
            <w:noProof/>
            <w:lang w:val="pt-BR"/>
          </w:rPr>
          <w:t>32</w:t>
        </w:r>
        <w:r>
          <w:fldChar w:fldCharType="end"/>
        </w:r>
      </w:sdtContent>
    </w:sdt>
  </w:p>
  <w:p w14:paraId="204C16EE" w14:textId="77777777" w:rsidR="00E9579A" w:rsidRDefault="00E9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EFD2" w14:textId="77777777" w:rsidR="00DD72EE" w:rsidRDefault="00DD72EE">
      <w:pPr>
        <w:spacing w:line="240" w:lineRule="auto"/>
      </w:pPr>
      <w:r>
        <w:separator/>
      </w:r>
    </w:p>
  </w:footnote>
  <w:footnote w:type="continuationSeparator" w:id="0">
    <w:p w14:paraId="57827E6B" w14:textId="77777777" w:rsidR="00DD72EE" w:rsidRDefault="00DD7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D6F3" w14:textId="3C8D208A" w:rsidR="00E9579A" w:rsidRDefault="00E9579A">
    <w:pP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3E89"/>
    <w:multiLevelType w:val="hybridMultilevel"/>
    <w:tmpl w:val="7F88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96237B"/>
    <w:multiLevelType w:val="multilevel"/>
    <w:tmpl w:val="B380B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7D5A4E"/>
    <w:multiLevelType w:val="multilevel"/>
    <w:tmpl w:val="36DE5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522D3"/>
    <w:multiLevelType w:val="hybridMultilevel"/>
    <w:tmpl w:val="1D48B7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1070B5"/>
    <w:multiLevelType w:val="multilevel"/>
    <w:tmpl w:val="372E4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07735D"/>
    <w:multiLevelType w:val="multilevel"/>
    <w:tmpl w:val="1B6EC6FC"/>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E7F7395"/>
    <w:multiLevelType w:val="hybridMultilevel"/>
    <w:tmpl w:val="BF20E72E"/>
    <w:lvl w:ilvl="0" w:tplc="6C1A85B0">
      <w:start w:val="1"/>
      <w:numFmt w:val="bullet"/>
      <w:lvlText w:val="●"/>
      <w:lvlJc w:val="left"/>
      <w:pPr>
        <w:ind w:left="720" w:hanging="360"/>
      </w:pPr>
      <w:rPr>
        <w:u w:val="none"/>
      </w:rPr>
    </w:lvl>
    <w:lvl w:ilvl="1" w:tplc="45B6D0B4">
      <w:start w:val="1"/>
      <w:numFmt w:val="bullet"/>
      <w:lvlText w:val="○"/>
      <w:lvlJc w:val="left"/>
      <w:pPr>
        <w:ind w:left="1440" w:hanging="360"/>
      </w:pPr>
      <w:rPr>
        <w:u w:val="none"/>
      </w:rPr>
    </w:lvl>
    <w:lvl w:ilvl="2" w:tplc="447A4D2C">
      <w:start w:val="1"/>
      <w:numFmt w:val="lowerRoman"/>
      <w:lvlText w:val="(%3)"/>
      <w:lvlJc w:val="right"/>
      <w:pPr>
        <w:ind w:left="2160" w:hanging="360"/>
      </w:pPr>
      <w:rPr>
        <w:u w:val="none"/>
      </w:rPr>
    </w:lvl>
    <w:lvl w:ilvl="3" w:tplc="1CEA9966">
      <w:start w:val="1"/>
      <w:numFmt w:val="decimal"/>
      <w:lvlText w:val="%4)"/>
      <w:lvlJc w:val="left"/>
      <w:pPr>
        <w:ind w:left="2880" w:hanging="360"/>
      </w:pPr>
      <w:rPr>
        <w:u w:val="none"/>
      </w:rPr>
    </w:lvl>
    <w:lvl w:ilvl="4" w:tplc="4B28A54E">
      <w:start w:val="1"/>
      <w:numFmt w:val="lowerLetter"/>
      <w:lvlText w:val="%5)"/>
      <w:lvlJc w:val="left"/>
      <w:pPr>
        <w:ind w:left="3600" w:hanging="360"/>
      </w:pPr>
      <w:rPr>
        <w:u w:val="none"/>
      </w:rPr>
    </w:lvl>
    <w:lvl w:ilvl="5" w:tplc="2344299A">
      <w:start w:val="1"/>
      <w:numFmt w:val="lowerRoman"/>
      <w:lvlText w:val="%6)"/>
      <w:lvlJc w:val="right"/>
      <w:pPr>
        <w:ind w:left="4320" w:hanging="360"/>
      </w:pPr>
      <w:rPr>
        <w:u w:val="none"/>
      </w:rPr>
    </w:lvl>
    <w:lvl w:ilvl="6" w:tplc="826C079E">
      <w:start w:val="1"/>
      <w:numFmt w:val="decimal"/>
      <w:lvlText w:val="%7."/>
      <w:lvlJc w:val="left"/>
      <w:pPr>
        <w:ind w:left="5040" w:hanging="360"/>
      </w:pPr>
      <w:rPr>
        <w:u w:val="none"/>
      </w:rPr>
    </w:lvl>
    <w:lvl w:ilvl="7" w:tplc="90A210CE">
      <w:start w:val="1"/>
      <w:numFmt w:val="lowerLetter"/>
      <w:lvlText w:val="%8."/>
      <w:lvlJc w:val="left"/>
      <w:pPr>
        <w:ind w:left="5760" w:hanging="360"/>
      </w:pPr>
      <w:rPr>
        <w:u w:val="none"/>
      </w:rPr>
    </w:lvl>
    <w:lvl w:ilvl="8" w:tplc="2ECE1C02">
      <w:start w:val="1"/>
      <w:numFmt w:val="lowerRoman"/>
      <w:lvlText w:val="%9."/>
      <w:lvlJc w:val="right"/>
      <w:pPr>
        <w:ind w:left="6480" w:hanging="360"/>
      </w:pPr>
      <w:rPr>
        <w:u w:val="none"/>
      </w:rPr>
    </w:lvl>
  </w:abstractNum>
  <w:abstractNum w:abstractNumId="7" w15:restartNumberingAfterBreak="0">
    <w:nsid w:val="2F46417B"/>
    <w:multiLevelType w:val="hybridMultilevel"/>
    <w:tmpl w:val="77E40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1AA71BC"/>
    <w:multiLevelType w:val="multilevel"/>
    <w:tmpl w:val="0AF6F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F92FF0"/>
    <w:multiLevelType w:val="multilevel"/>
    <w:tmpl w:val="8330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4099C"/>
    <w:multiLevelType w:val="multilevel"/>
    <w:tmpl w:val="D1648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306C78"/>
    <w:multiLevelType w:val="hybridMultilevel"/>
    <w:tmpl w:val="F524F7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ADC3B78"/>
    <w:multiLevelType w:val="multilevel"/>
    <w:tmpl w:val="79A40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2B1378"/>
    <w:multiLevelType w:val="multilevel"/>
    <w:tmpl w:val="2F7CF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A374FA"/>
    <w:multiLevelType w:val="multilevel"/>
    <w:tmpl w:val="D138D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F05988"/>
    <w:multiLevelType w:val="multilevel"/>
    <w:tmpl w:val="0BFAB6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667189D"/>
    <w:multiLevelType w:val="hybridMultilevel"/>
    <w:tmpl w:val="FC24A0A8"/>
    <w:lvl w:ilvl="0" w:tplc="04160001">
      <w:start w:val="1"/>
      <w:numFmt w:val="bullet"/>
      <w:lvlText w:val=""/>
      <w:lvlJc w:val="left"/>
      <w:pPr>
        <w:ind w:left="720" w:hanging="360"/>
      </w:pPr>
      <w:rPr>
        <w:rFonts w:ascii="Symbol" w:hAnsi="Symbol" w:hint="default"/>
      </w:rPr>
    </w:lvl>
    <w:lvl w:ilvl="1" w:tplc="E68E9B8E">
      <w:numFmt w:val="bullet"/>
      <w:lvlText w:val="-"/>
      <w:lvlJc w:val="left"/>
      <w:pPr>
        <w:ind w:left="1440" w:hanging="360"/>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8564F4"/>
    <w:multiLevelType w:val="multilevel"/>
    <w:tmpl w:val="522E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BC02D7"/>
    <w:multiLevelType w:val="hybridMultilevel"/>
    <w:tmpl w:val="288CF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5E2858"/>
    <w:multiLevelType w:val="hybridMultilevel"/>
    <w:tmpl w:val="EF2854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E60478B"/>
    <w:multiLevelType w:val="multilevel"/>
    <w:tmpl w:val="D116B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2A5245"/>
    <w:multiLevelType w:val="hybridMultilevel"/>
    <w:tmpl w:val="DAFE0656"/>
    <w:lvl w:ilvl="0" w:tplc="5B345792">
      <w:start w:val="1"/>
      <w:numFmt w:val="bullet"/>
      <w:lvlText w:val="●"/>
      <w:lvlJc w:val="left"/>
      <w:pPr>
        <w:ind w:left="720" w:hanging="360"/>
      </w:pPr>
      <w:rPr>
        <w:u w:val="none"/>
      </w:rPr>
    </w:lvl>
    <w:lvl w:ilvl="1" w:tplc="F4B21096">
      <w:start w:val="1"/>
      <w:numFmt w:val="bullet"/>
      <w:lvlText w:val="○"/>
      <w:lvlJc w:val="left"/>
      <w:pPr>
        <w:ind w:left="1440" w:hanging="360"/>
      </w:pPr>
      <w:rPr>
        <w:u w:val="none"/>
      </w:rPr>
    </w:lvl>
    <w:lvl w:ilvl="2" w:tplc="B12EC6B0">
      <w:start w:val="1"/>
      <w:numFmt w:val="bullet"/>
      <w:lvlText w:val="■"/>
      <w:lvlJc w:val="left"/>
      <w:pPr>
        <w:ind w:left="2160" w:hanging="360"/>
      </w:pPr>
      <w:rPr>
        <w:u w:val="none"/>
      </w:rPr>
    </w:lvl>
    <w:lvl w:ilvl="3" w:tplc="D1CC2866">
      <w:start w:val="1"/>
      <w:numFmt w:val="bullet"/>
      <w:lvlText w:val="●"/>
      <w:lvlJc w:val="left"/>
      <w:pPr>
        <w:ind w:left="2880" w:hanging="360"/>
      </w:pPr>
      <w:rPr>
        <w:u w:val="none"/>
      </w:rPr>
    </w:lvl>
    <w:lvl w:ilvl="4" w:tplc="28EE9AAA">
      <w:start w:val="1"/>
      <w:numFmt w:val="bullet"/>
      <w:lvlText w:val="○"/>
      <w:lvlJc w:val="left"/>
      <w:pPr>
        <w:ind w:left="3600" w:hanging="360"/>
      </w:pPr>
      <w:rPr>
        <w:u w:val="none"/>
      </w:rPr>
    </w:lvl>
    <w:lvl w:ilvl="5" w:tplc="EF2E6F7E">
      <w:start w:val="1"/>
      <w:numFmt w:val="bullet"/>
      <w:lvlText w:val="■"/>
      <w:lvlJc w:val="left"/>
      <w:pPr>
        <w:ind w:left="4320" w:hanging="360"/>
      </w:pPr>
      <w:rPr>
        <w:u w:val="none"/>
      </w:rPr>
    </w:lvl>
    <w:lvl w:ilvl="6" w:tplc="CC4C026E">
      <w:start w:val="1"/>
      <w:numFmt w:val="bullet"/>
      <w:lvlText w:val="●"/>
      <w:lvlJc w:val="left"/>
      <w:pPr>
        <w:ind w:left="5040" w:hanging="360"/>
      </w:pPr>
      <w:rPr>
        <w:u w:val="none"/>
      </w:rPr>
    </w:lvl>
    <w:lvl w:ilvl="7" w:tplc="7D5A6E40">
      <w:start w:val="1"/>
      <w:numFmt w:val="bullet"/>
      <w:lvlText w:val="○"/>
      <w:lvlJc w:val="left"/>
      <w:pPr>
        <w:ind w:left="5760" w:hanging="360"/>
      </w:pPr>
      <w:rPr>
        <w:u w:val="none"/>
      </w:rPr>
    </w:lvl>
    <w:lvl w:ilvl="8" w:tplc="2D3E2608">
      <w:start w:val="1"/>
      <w:numFmt w:val="bullet"/>
      <w:lvlText w:val="■"/>
      <w:lvlJc w:val="left"/>
      <w:pPr>
        <w:ind w:left="6480" w:hanging="360"/>
      </w:pPr>
      <w:rPr>
        <w:u w:val="none"/>
      </w:rPr>
    </w:lvl>
  </w:abstractNum>
  <w:abstractNum w:abstractNumId="22" w15:restartNumberingAfterBreak="0">
    <w:nsid w:val="63EB074B"/>
    <w:multiLevelType w:val="multilevel"/>
    <w:tmpl w:val="0F745C7C"/>
    <w:lvl w:ilvl="0">
      <w:start w:val="1"/>
      <w:numFmt w:val="upperLetter"/>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74D01898"/>
    <w:multiLevelType w:val="multilevel"/>
    <w:tmpl w:val="9BB2A130"/>
    <w:lvl w:ilvl="0">
      <w:start w:val="1"/>
      <w:numFmt w:val="upperRoman"/>
      <w:lvlText w:val="%1."/>
      <w:lvlJc w:val="right"/>
      <w:pPr>
        <w:ind w:left="360" w:hanging="360"/>
      </w:pPr>
    </w:lvl>
    <w:lvl w:ilvl="1">
      <w:start w:val="1"/>
      <w:numFmt w:val="decimal"/>
      <w:lvlText w:val="%1.%2."/>
      <w:lvlJc w:val="left"/>
      <w:pPr>
        <w:ind w:left="858" w:hanging="432"/>
      </w:pPr>
      <w:rPr>
        <w:b/>
      </w:rPr>
    </w:lvl>
    <w:lvl w:ilvl="2">
      <w:start w:val="1"/>
      <w:numFmt w:val="lowerLetter"/>
      <w:lvlText w:val="%3."/>
      <w:lvlJc w:val="left"/>
      <w:pPr>
        <w:ind w:left="1224" w:hanging="504"/>
      </w:pPr>
    </w:lvl>
    <w:lvl w:ilvl="3">
      <w:start w:val="1"/>
      <w:numFmt w:val="lowerRoman"/>
      <w:lvlText w:val="%4."/>
      <w:lvlJc w:val="righ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7B35F2"/>
    <w:multiLevelType w:val="multilevel"/>
    <w:tmpl w:val="AB4E3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8022F51"/>
    <w:multiLevelType w:val="multilevel"/>
    <w:tmpl w:val="C7A6B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77106734">
    <w:abstractNumId w:val="25"/>
  </w:num>
  <w:num w:numId="2" w16cid:durableId="574704411">
    <w:abstractNumId w:val="1"/>
  </w:num>
  <w:num w:numId="3" w16cid:durableId="272716384">
    <w:abstractNumId w:val="22"/>
  </w:num>
  <w:num w:numId="4" w16cid:durableId="1933463359">
    <w:abstractNumId w:val="5"/>
  </w:num>
  <w:num w:numId="5" w16cid:durableId="225991025">
    <w:abstractNumId w:val="2"/>
  </w:num>
  <w:num w:numId="6" w16cid:durableId="1201668590">
    <w:abstractNumId w:val="24"/>
  </w:num>
  <w:num w:numId="7" w16cid:durableId="1239487290">
    <w:abstractNumId w:val="10"/>
  </w:num>
  <w:num w:numId="8" w16cid:durableId="977220446">
    <w:abstractNumId w:val="9"/>
  </w:num>
  <w:num w:numId="9" w16cid:durableId="58990735">
    <w:abstractNumId w:val="8"/>
  </w:num>
  <w:num w:numId="10" w16cid:durableId="412507182">
    <w:abstractNumId w:val="4"/>
  </w:num>
  <w:num w:numId="11" w16cid:durableId="850224061">
    <w:abstractNumId w:val="17"/>
  </w:num>
  <w:num w:numId="12" w16cid:durableId="489369252">
    <w:abstractNumId w:val="23"/>
  </w:num>
  <w:num w:numId="13" w16cid:durableId="1644967146">
    <w:abstractNumId w:val="12"/>
  </w:num>
  <w:num w:numId="14" w16cid:durableId="1503080504">
    <w:abstractNumId w:val="21"/>
  </w:num>
  <w:num w:numId="15" w16cid:durableId="1006051957">
    <w:abstractNumId w:val="13"/>
  </w:num>
  <w:num w:numId="16" w16cid:durableId="637757324">
    <w:abstractNumId w:val="20"/>
  </w:num>
  <w:num w:numId="17" w16cid:durableId="1999797271">
    <w:abstractNumId w:val="6"/>
  </w:num>
  <w:num w:numId="18" w16cid:durableId="815952107">
    <w:abstractNumId w:val="14"/>
  </w:num>
  <w:num w:numId="19" w16cid:durableId="2013798982">
    <w:abstractNumId w:val="15"/>
  </w:num>
  <w:num w:numId="20" w16cid:durableId="1414626181">
    <w:abstractNumId w:val="7"/>
  </w:num>
  <w:num w:numId="21" w16cid:durableId="1310984688">
    <w:abstractNumId w:val="16"/>
  </w:num>
  <w:num w:numId="22" w16cid:durableId="1694989633">
    <w:abstractNumId w:val="19"/>
  </w:num>
  <w:num w:numId="23" w16cid:durableId="2126733114">
    <w:abstractNumId w:val="3"/>
  </w:num>
  <w:num w:numId="24" w16cid:durableId="1742092597">
    <w:abstractNumId w:val="11"/>
  </w:num>
  <w:num w:numId="25" w16cid:durableId="923075028">
    <w:abstractNumId w:val="18"/>
  </w:num>
  <w:num w:numId="26" w16cid:durableId="21031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C3"/>
    <w:rsid w:val="0000110C"/>
    <w:rsid w:val="0000373C"/>
    <w:rsid w:val="00003B69"/>
    <w:rsid w:val="00005920"/>
    <w:rsid w:val="000062B1"/>
    <w:rsid w:val="00022F2A"/>
    <w:rsid w:val="00023D2B"/>
    <w:rsid w:val="00032029"/>
    <w:rsid w:val="00034BA2"/>
    <w:rsid w:val="00034EE5"/>
    <w:rsid w:val="00041E89"/>
    <w:rsid w:val="0005590B"/>
    <w:rsid w:val="00083C68"/>
    <w:rsid w:val="00086105"/>
    <w:rsid w:val="000863A1"/>
    <w:rsid w:val="00090F0D"/>
    <w:rsid w:val="000926B2"/>
    <w:rsid w:val="00097DE8"/>
    <w:rsid w:val="000A0F5D"/>
    <w:rsid w:val="000A54D4"/>
    <w:rsid w:val="000C1FB2"/>
    <w:rsid w:val="000C53B9"/>
    <w:rsid w:val="000D33B5"/>
    <w:rsid w:val="000D4579"/>
    <w:rsid w:val="000D4CCA"/>
    <w:rsid w:val="001005BB"/>
    <w:rsid w:val="00107B5E"/>
    <w:rsid w:val="00114457"/>
    <w:rsid w:val="00121B5E"/>
    <w:rsid w:val="00136CA2"/>
    <w:rsid w:val="00146F6D"/>
    <w:rsid w:val="0014714D"/>
    <w:rsid w:val="00151063"/>
    <w:rsid w:val="0015311E"/>
    <w:rsid w:val="00161B82"/>
    <w:rsid w:val="0017313E"/>
    <w:rsid w:val="00175B15"/>
    <w:rsid w:val="00176A56"/>
    <w:rsid w:val="00177E69"/>
    <w:rsid w:val="001869E0"/>
    <w:rsid w:val="00187D66"/>
    <w:rsid w:val="00191F29"/>
    <w:rsid w:val="001944D9"/>
    <w:rsid w:val="00195EA5"/>
    <w:rsid w:val="001A74EE"/>
    <w:rsid w:val="001B4027"/>
    <w:rsid w:val="001C0657"/>
    <w:rsid w:val="001C1EC7"/>
    <w:rsid w:val="001C6CBA"/>
    <w:rsid w:val="001F147A"/>
    <w:rsid w:val="001F35E2"/>
    <w:rsid w:val="001F7BAD"/>
    <w:rsid w:val="00201E6E"/>
    <w:rsid w:val="00205624"/>
    <w:rsid w:val="00206E97"/>
    <w:rsid w:val="00207389"/>
    <w:rsid w:val="00216C30"/>
    <w:rsid w:val="00220ABB"/>
    <w:rsid w:val="0022313A"/>
    <w:rsid w:val="00224623"/>
    <w:rsid w:val="00235DB2"/>
    <w:rsid w:val="00236AE2"/>
    <w:rsid w:val="00257478"/>
    <w:rsid w:val="00263115"/>
    <w:rsid w:val="00265443"/>
    <w:rsid w:val="00265800"/>
    <w:rsid w:val="00267932"/>
    <w:rsid w:val="00275663"/>
    <w:rsid w:val="00280333"/>
    <w:rsid w:val="002839F4"/>
    <w:rsid w:val="002904B4"/>
    <w:rsid w:val="0029096B"/>
    <w:rsid w:val="00293C8E"/>
    <w:rsid w:val="002A5E4B"/>
    <w:rsid w:val="002B2A43"/>
    <w:rsid w:val="002B690E"/>
    <w:rsid w:val="002C0CC6"/>
    <w:rsid w:val="002C2D6C"/>
    <w:rsid w:val="002C6ACE"/>
    <w:rsid w:val="002D102D"/>
    <w:rsid w:val="002E3DFA"/>
    <w:rsid w:val="002F1EB3"/>
    <w:rsid w:val="003046D5"/>
    <w:rsid w:val="0031616F"/>
    <w:rsid w:val="00320BE2"/>
    <w:rsid w:val="00323646"/>
    <w:rsid w:val="00330648"/>
    <w:rsid w:val="00333CDC"/>
    <w:rsid w:val="00334254"/>
    <w:rsid w:val="00347CE1"/>
    <w:rsid w:val="003541CC"/>
    <w:rsid w:val="00356F63"/>
    <w:rsid w:val="00362048"/>
    <w:rsid w:val="0036255E"/>
    <w:rsid w:val="003965F3"/>
    <w:rsid w:val="003A16E7"/>
    <w:rsid w:val="003A6D68"/>
    <w:rsid w:val="003B6A9B"/>
    <w:rsid w:val="003B7305"/>
    <w:rsid w:val="003C1E16"/>
    <w:rsid w:val="003C7CC5"/>
    <w:rsid w:val="003D5700"/>
    <w:rsid w:val="003F24DE"/>
    <w:rsid w:val="003F3225"/>
    <w:rsid w:val="003F41E9"/>
    <w:rsid w:val="003F445D"/>
    <w:rsid w:val="003F69B2"/>
    <w:rsid w:val="00404182"/>
    <w:rsid w:val="0040695C"/>
    <w:rsid w:val="00412E44"/>
    <w:rsid w:val="004202B2"/>
    <w:rsid w:val="0042421F"/>
    <w:rsid w:val="004244A8"/>
    <w:rsid w:val="00442451"/>
    <w:rsid w:val="00443222"/>
    <w:rsid w:val="00443DD1"/>
    <w:rsid w:val="004445E2"/>
    <w:rsid w:val="004474EF"/>
    <w:rsid w:val="00456C76"/>
    <w:rsid w:val="00471711"/>
    <w:rsid w:val="0047655B"/>
    <w:rsid w:val="00482B06"/>
    <w:rsid w:val="00482CCF"/>
    <w:rsid w:val="00487D90"/>
    <w:rsid w:val="0049530A"/>
    <w:rsid w:val="004A2A17"/>
    <w:rsid w:val="004B328F"/>
    <w:rsid w:val="004B419C"/>
    <w:rsid w:val="004B45C6"/>
    <w:rsid w:val="004B6323"/>
    <w:rsid w:val="004D00E3"/>
    <w:rsid w:val="004E2C94"/>
    <w:rsid w:val="004E5BA3"/>
    <w:rsid w:val="004E7E1A"/>
    <w:rsid w:val="004F320A"/>
    <w:rsid w:val="004F529B"/>
    <w:rsid w:val="00503BE5"/>
    <w:rsid w:val="005169DA"/>
    <w:rsid w:val="00517F0A"/>
    <w:rsid w:val="00522E05"/>
    <w:rsid w:val="00523C61"/>
    <w:rsid w:val="0052719E"/>
    <w:rsid w:val="0053445C"/>
    <w:rsid w:val="00542716"/>
    <w:rsid w:val="005475A0"/>
    <w:rsid w:val="00571D38"/>
    <w:rsid w:val="0057212E"/>
    <w:rsid w:val="005726F6"/>
    <w:rsid w:val="00581551"/>
    <w:rsid w:val="005A0D1B"/>
    <w:rsid w:val="005A212E"/>
    <w:rsid w:val="005B0C3E"/>
    <w:rsid w:val="005B6C5C"/>
    <w:rsid w:val="005C3C30"/>
    <w:rsid w:val="005C4AA5"/>
    <w:rsid w:val="005C6EF1"/>
    <w:rsid w:val="005D1598"/>
    <w:rsid w:val="005E6CF1"/>
    <w:rsid w:val="00604E11"/>
    <w:rsid w:val="0062419E"/>
    <w:rsid w:val="006249DC"/>
    <w:rsid w:val="00625D12"/>
    <w:rsid w:val="00627E27"/>
    <w:rsid w:val="006364CB"/>
    <w:rsid w:val="00640BE8"/>
    <w:rsid w:val="00646C7C"/>
    <w:rsid w:val="00663A32"/>
    <w:rsid w:val="006723CB"/>
    <w:rsid w:val="00676B1B"/>
    <w:rsid w:val="00680CE5"/>
    <w:rsid w:val="0068387A"/>
    <w:rsid w:val="006937D5"/>
    <w:rsid w:val="00697026"/>
    <w:rsid w:val="006A3EC5"/>
    <w:rsid w:val="006B2AB0"/>
    <w:rsid w:val="006B3E87"/>
    <w:rsid w:val="006B4446"/>
    <w:rsid w:val="006B5D34"/>
    <w:rsid w:val="006C75EC"/>
    <w:rsid w:val="006E4E58"/>
    <w:rsid w:val="006E5BC9"/>
    <w:rsid w:val="006F01A4"/>
    <w:rsid w:val="006F1336"/>
    <w:rsid w:val="006F3841"/>
    <w:rsid w:val="00700A6F"/>
    <w:rsid w:val="00707814"/>
    <w:rsid w:val="00712C7D"/>
    <w:rsid w:val="00723623"/>
    <w:rsid w:val="007342FB"/>
    <w:rsid w:val="00742F15"/>
    <w:rsid w:val="0074470A"/>
    <w:rsid w:val="00751BAD"/>
    <w:rsid w:val="00766EEA"/>
    <w:rsid w:val="00771617"/>
    <w:rsid w:val="00771DDC"/>
    <w:rsid w:val="00780993"/>
    <w:rsid w:val="00780F49"/>
    <w:rsid w:val="00792ABF"/>
    <w:rsid w:val="00795C61"/>
    <w:rsid w:val="007A0406"/>
    <w:rsid w:val="007A3A24"/>
    <w:rsid w:val="007A513B"/>
    <w:rsid w:val="007B06F0"/>
    <w:rsid w:val="007B3463"/>
    <w:rsid w:val="007C39B8"/>
    <w:rsid w:val="007E3251"/>
    <w:rsid w:val="007E7B91"/>
    <w:rsid w:val="007F3E79"/>
    <w:rsid w:val="007F40CC"/>
    <w:rsid w:val="007F600C"/>
    <w:rsid w:val="00807B9F"/>
    <w:rsid w:val="0081443F"/>
    <w:rsid w:val="00824D55"/>
    <w:rsid w:val="00832788"/>
    <w:rsid w:val="008537E8"/>
    <w:rsid w:val="008658FB"/>
    <w:rsid w:val="00882BFE"/>
    <w:rsid w:val="00887A5A"/>
    <w:rsid w:val="00887C99"/>
    <w:rsid w:val="00896DA2"/>
    <w:rsid w:val="008A09CA"/>
    <w:rsid w:val="008A4584"/>
    <w:rsid w:val="008A5A6A"/>
    <w:rsid w:val="008B101C"/>
    <w:rsid w:val="008C298E"/>
    <w:rsid w:val="008E0478"/>
    <w:rsid w:val="008E26DB"/>
    <w:rsid w:val="008F23FF"/>
    <w:rsid w:val="008F33FF"/>
    <w:rsid w:val="008F5283"/>
    <w:rsid w:val="009027C1"/>
    <w:rsid w:val="00905271"/>
    <w:rsid w:val="009062D5"/>
    <w:rsid w:val="00916AA7"/>
    <w:rsid w:val="00921C45"/>
    <w:rsid w:val="009229EB"/>
    <w:rsid w:val="00924165"/>
    <w:rsid w:val="009316E2"/>
    <w:rsid w:val="009322C2"/>
    <w:rsid w:val="0093470C"/>
    <w:rsid w:val="00940288"/>
    <w:rsid w:val="0094622A"/>
    <w:rsid w:val="00957D5B"/>
    <w:rsid w:val="009B0485"/>
    <w:rsid w:val="009B4773"/>
    <w:rsid w:val="009B7446"/>
    <w:rsid w:val="009C05D0"/>
    <w:rsid w:val="009D028F"/>
    <w:rsid w:val="009D24C1"/>
    <w:rsid w:val="009F0EC8"/>
    <w:rsid w:val="009F2B7F"/>
    <w:rsid w:val="009F427F"/>
    <w:rsid w:val="00A015FA"/>
    <w:rsid w:val="00A07FBA"/>
    <w:rsid w:val="00A11294"/>
    <w:rsid w:val="00A21875"/>
    <w:rsid w:val="00A22ABE"/>
    <w:rsid w:val="00A25AC8"/>
    <w:rsid w:val="00A26571"/>
    <w:rsid w:val="00A31AC7"/>
    <w:rsid w:val="00A36590"/>
    <w:rsid w:val="00A40981"/>
    <w:rsid w:val="00A53C4D"/>
    <w:rsid w:val="00A62676"/>
    <w:rsid w:val="00A62A7D"/>
    <w:rsid w:val="00A636C3"/>
    <w:rsid w:val="00A645D2"/>
    <w:rsid w:val="00A91D07"/>
    <w:rsid w:val="00A95628"/>
    <w:rsid w:val="00AA6E7F"/>
    <w:rsid w:val="00AB4D1A"/>
    <w:rsid w:val="00AC408F"/>
    <w:rsid w:val="00AD5112"/>
    <w:rsid w:val="00AE12F2"/>
    <w:rsid w:val="00AE2CCF"/>
    <w:rsid w:val="00AE5BCD"/>
    <w:rsid w:val="00B14987"/>
    <w:rsid w:val="00B270CC"/>
    <w:rsid w:val="00B3197F"/>
    <w:rsid w:val="00B43974"/>
    <w:rsid w:val="00B46ADD"/>
    <w:rsid w:val="00B47E04"/>
    <w:rsid w:val="00B73CE3"/>
    <w:rsid w:val="00B80147"/>
    <w:rsid w:val="00B81C63"/>
    <w:rsid w:val="00B8389D"/>
    <w:rsid w:val="00B96B9E"/>
    <w:rsid w:val="00BA089B"/>
    <w:rsid w:val="00BA10B8"/>
    <w:rsid w:val="00BA4482"/>
    <w:rsid w:val="00BA5FB9"/>
    <w:rsid w:val="00BB0BE0"/>
    <w:rsid w:val="00BC5288"/>
    <w:rsid w:val="00BE322D"/>
    <w:rsid w:val="00BE6C3B"/>
    <w:rsid w:val="00C072B1"/>
    <w:rsid w:val="00C31127"/>
    <w:rsid w:val="00C34944"/>
    <w:rsid w:val="00C376A7"/>
    <w:rsid w:val="00C41AFF"/>
    <w:rsid w:val="00C47643"/>
    <w:rsid w:val="00C50604"/>
    <w:rsid w:val="00C6605D"/>
    <w:rsid w:val="00C7393E"/>
    <w:rsid w:val="00C76FFF"/>
    <w:rsid w:val="00C81D3F"/>
    <w:rsid w:val="00C846F4"/>
    <w:rsid w:val="00CA1E64"/>
    <w:rsid w:val="00CC22F6"/>
    <w:rsid w:val="00CD5E94"/>
    <w:rsid w:val="00CD672A"/>
    <w:rsid w:val="00CE0C09"/>
    <w:rsid w:val="00CE57D8"/>
    <w:rsid w:val="00CF2E2C"/>
    <w:rsid w:val="00D005C2"/>
    <w:rsid w:val="00D13A83"/>
    <w:rsid w:val="00D409CC"/>
    <w:rsid w:val="00D66FDB"/>
    <w:rsid w:val="00D67D22"/>
    <w:rsid w:val="00D71AA5"/>
    <w:rsid w:val="00D82484"/>
    <w:rsid w:val="00D855E9"/>
    <w:rsid w:val="00D85AA5"/>
    <w:rsid w:val="00DA23EE"/>
    <w:rsid w:val="00DA6D78"/>
    <w:rsid w:val="00DB4985"/>
    <w:rsid w:val="00DB7825"/>
    <w:rsid w:val="00DC2208"/>
    <w:rsid w:val="00DD72EE"/>
    <w:rsid w:val="00DE4F99"/>
    <w:rsid w:val="00DE69B8"/>
    <w:rsid w:val="00DE75FD"/>
    <w:rsid w:val="00DE7F07"/>
    <w:rsid w:val="00DF39D3"/>
    <w:rsid w:val="00DF6CA4"/>
    <w:rsid w:val="00E02983"/>
    <w:rsid w:val="00E079ED"/>
    <w:rsid w:val="00E1378B"/>
    <w:rsid w:val="00E21B1B"/>
    <w:rsid w:val="00E27B7A"/>
    <w:rsid w:val="00E3164B"/>
    <w:rsid w:val="00E34BB2"/>
    <w:rsid w:val="00E43B32"/>
    <w:rsid w:val="00E53D1F"/>
    <w:rsid w:val="00E56876"/>
    <w:rsid w:val="00E618F5"/>
    <w:rsid w:val="00E67A5F"/>
    <w:rsid w:val="00E805EC"/>
    <w:rsid w:val="00E84065"/>
    <w:rsid w:val="00E92AF3"/>
    <w:rsid w:val="00E9579A"/>
    <w:rsid w:val="00E95A58"/>
    <w:rsid w:val="00EA4B6D"/>
    <w:rsid w:val="00EB048E"/>
    <w:rsid w:val="00EB14E2"/>
    <w:rsid w:val="00EB44CF"/>
    <w:rsid w:val="00EB48A1"/>
    <w:rsid w:val="00EB6220"/>
    <w:rsid w:val="00EC09B9"/>
    <w:rsid w:val="00ED1086"/>
    <w:rsid w:val="00EE104D"/>
    <w:rsid w:val="00EE4E54"/>
    <w:rsid w:val="00EE5D71"/>
    <w:rsid w:val="00EF6261"/>
    <w:rsid w:val="00EF7A71"/>
    <w:rsid w:val="00F046D7"/>
    <w:rsid w:val="00F212D2"/>
    <w:rsid w:val="00F25097"/>
    <w:rsid w:val="00F30643"/>
    <w:rsid w:val="00F30B62"/>
    <w:rsid w:val="00F30E9E"/>
    <w:rsid w:val="00F35A6F"/>
    <w:rsid w:val="00F430D4"/>
    <w:rsid w:val="00F44B63"/>
    <w:rsid w:val="00F526FF"/>
    <w:rsid w:val="00F76E65"/>
    <w:rsid w:val="00F848EE"/>
    <w:rsid w:val="00F8733F"/>
    <w:rsid w:val="00F9613F"/>
    <w:rsid w:val="00FA0935"/>
    <w:rsid w:val="00FB47D9"/>
    <w:rsid w:val="00FB6EB7"/>
    <w:rsid w:val="00FB7B0F"/>
    <w:rsid w:val="00FD4091"/>
    <w:rsid w:val="00FE2A66"/>
    <w:rsid w:val="00FE5466"/>
    <w:rsid w:val="00FE5CD7"/>
    <w:rsid w:val="00FF0410"/>
    <w:rsid w:val="00FF2A4D"/>
    <w:rsid w:val="00FF3571"/>
    <w:rsid w:val="14554135"/>
    <w:rsid w:val="3281A25D"/>
    <w:rsid w:val="422F24A5"/>
    <w:rsid w:val="5E72D7E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57D3E"/>
  <w15:docId w15:val="{2EE0838B-10E0-41E5-9273-FBFA44E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9">
    <w:name w:val="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8">
    <w:name w:val="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7">
    <w:name w:val="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3">
    <w:name w:val="3"/>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2">
    <w:name w:val="2"/>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1">
    <w:name w:val="1"/>
    <w:basedOn w:val="TableNormal1"/>
    <w:pPr>
      <w:spacing w:line="240" w:lineRule="auto"/>
    </w:p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A4482"/>
    <w:pPr>
      <w:spacing w:line="240" w:lineRule="auto"/>
    </w:pPr>
    <w:rPr>
      <w:rFonts w:ascii="Calibri" w:eastAsia="Calibri" w:hAnsi="Calibri" w:cs="Times New Roman"/>
      <w:lang w:val="pt-B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B6220"/>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ListParagraph">
    <w:name w:val="List Paragraph"/>
    <w:basedOn w:val="Normal"/>
    <w:uiPriority w:val="34"/>
    <w:qFormat/>
    <w:rsid w:val="004D00E3"/>
    <w:pPr>
      <w:ind w:left="720"/>
      <w:contextualSpacing/>
    </w:pPr>
  </w:style>
  <w:style w:type="paragraph" w:styleId="Revision">
    <w:name w:val="Revision"/>
    <w:hidden/>
    <w:uiPriority w:val="99"/>
    <w:semiHidden/>
    <w:rsid w:val="00887C99"/>
    <w:pPr>
      <w:spacing w:line="240" w:lineRule="auto"/>
    </w:pPr>
  </w:style>
  <w:style w:type="paragraph" w:styleId="BalloonText">
    <w:name w:val="Balloon Text"/>
    <w:basedOn w:val="Normal"/>
    <w:link w:val="BalloonTextChar"/>
    <w:uiPriority w:val="99"/>
    <w:semiHidden/>
    <w:unhideWhenUsed/>
    <w:rsid w:val="008C29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98E"/>
    <w:rPr>
      <w:rFonts w:ascii="Segoe UI" w:hAnsi="Segoe UI" w:cs="Segoe UI"/>
      <w:sz w:val="18"/>
      <w:szCs w:val="18"/>
    </w:rPr>
  </w:style>
  <w:style w:type="paragraph" w:styleId="FootnoteText">
    <w:name w:val="footnote text"/>
    <w:basedOn w:val="Normal"/>
    <w:link w:val="FootnoteTextChar"/>
    <w:uiPriority w:val="99"/>
    <w:semiHidden/>
    <w:unhideWhenUsed/>
    <w:rsid w:val="001F35E2"/>
    <w:pPr>
      <w:spacing w:line="240" w:lineRule="auto"/>
    </w:pPr>
    <w:rPr>
      <w:sz w:val="20"/>
      <w:szCs w:val="20"/>
    </w:rPr>
  </w:style>
  <w:style w:type="character" w:customStyle="1" w:styleId="FootnoteTextChar">
    <w:name w:val="Footnote Text Char"/>
    <w:basedOn w:val="DefaultParagraphFont"/>
    <w:link w:val="FootnoteText"/>
    <w:uiPriority w:val="99"/>
    <w:semiHidden/>
    <w:rsid w:val="001F35E2"/>
    <w:rPr>
      <w:sz w:val="20"/>
      <w:szCs w:val="20"/>
    </w:rPr>
  </w:style>
  <w:style w:type="character" w:styleId="FootnoteReference">
    <w:name w:val="footnote reference"/>
    <w:basedOn w:val="DefaultParagraphFont"/>
    <w:uiPriority w:val="99"/>
    <w:semiHidden/>
    <w:unhideWhenUsed/>
    <w:rsid w:val="001F35E2"/>
    <w:rPr>
      <w:vertAlign w:val="superscript"/>
    </w:rPr>
  </w:style>
  <w:style w:type="paragraph" w:styleId="Header">
    <w:name w:val="header"/>
    <w:basedOn w:val="Normal"/>
    <w:link w:val="HeaderChar"/>
    <w:uiPriority w:val="99"/>
    <w:unhideWhenUsed/>
    <w:rsid w:val="001F35E2"/>
    <w:pPr>
      <w:tabs>
        <w:tab w:val="center" w:pos="4252"/>
        <w:tab w:val="right" w:pos="8504"/>
      </w:tabs>
      <w:spacing w:line="240" w:lineRule="auto"/>
    </w:pPr>
  </w:style>
  <w:style w:type="character" w:customStyle="1" w:styleId="HeaderChar">
    <w:name w:val="Header Char"/>
    <w:basedOn w:val="DefaultParagraphFont"/>
    <w:link w:val="Header"/>
    <w:uiPriority w:val="99"/>
    <w:rsid w:val="001F35E2"/>
  </w:style>
  <w:style w:type="paragraph" w:styleId="Footer">
    <w:name w:val="footer"/>
    <w:basedOn w:val="Normal"/>
    <w:link w:val="FooterChar"/>
    <w:uiPriority w:val="99"/>
    <w:unhideWhenUsed/>
    <w:rsid w:val="001F35E2"/>
    <w:pPr>
      <w:tabs>
        <w:tab w:val="center" w:pos="4252"/>
        <w:tab w:val="right" w:pos="8504"/>
      </w:tabs>
      <w:spacing w:line="240" w:lineRule="auto"/>
    </w:pPr>
  </w:style>
  <w:style w:type="character" w:customStyle="1" w:styleId="FooterChar">
    <w:name w:val="Footer Char"/>
    <w:basedOn w:val="DefaultParagraphFont"/>
    <w:link w:val="Footer"/>
    <w:uiPriority w:val="99"/>
    <w:rsid w:val="001F35E2"/>
  </w:style>
  <w:style w:type="character" w:styleId="CommentReference">
    <w:name w:val="annotation reference"/>
    <w:basedOn w:val="DefaultParagraphFont"/>
    <w:uiPriority w:val="99"/>
    <w:semiHidden/>
    <w:unhideWhenUsed/>
    <w:rsid w:val="00216C30"/>
    <w:rPr>
      <w:sz w:val="16"/>
      <w:szCs w:val="16"/>
    </w:rPr>
  </w:style>
  <w:style w:type="paragraph" w:styleId="CommentText">
    <w:name w:val="annotation text"/>
    <w:basedOn w:val="Normal"/>
    <w:link w:val="CommentTextChar"/>
    <w:uiPriority w:val="99"/>
    <w:semiHidden/>
    <w:unhideWhenUsed/>
    <w:rsid w:val="00216C30"/>
    <w:pPr>
      <w:spacing w:line="240" w:lineRule="auto"/>
    </w:pPr>
    <w:rPr>
      <w:sz w:val="20"/>
      <w:szCs w:val="20"/>
    </w:rPr>
  </w:style>
  <w:style w:type="character" w:customStyle="1" w:styleId="CommentTextChar">
    <w:name w:val="Comment Text Char"/>
    <w:basedOn w:val="DefaultParagraphFont"/>
    <w:link w:val="CommentText"/>
    <w:uiPriority w:val="99"/>
    <w:semiHidden/>
    <w:rsid w:val="00216C30"/>
    <w:rPr>
      <w:sz w:val="20"/>
      <w:szCs w:val="20"/>
    </w:rPr>
  </w:style>
  <w:style w:type="paragraph" w:styleId="CommentSubject">
    <w:name w:val="annotation subject"/>
    <w:basedOn w:val="CommentText"/>
    <w:next w:val="CommentText"/>
    <w:link w:val="CommentSubjectChar"/>
    <w:uiPriority w:val="99"/>
    <w:semiHidden/>
    <w:unhideWhenUsed/>
    <w:rsid w:val="00216C30"/>
    <w:rPr>
      <w:b/>
      <w:bCs/>
    </w:rPr>
  </w:style>
  <w:style w:type="character" w:customStyle="1" w:styleId="CommentSubjectChar">
    <w:name w:val="Comment Subject Char"/>
    <w:basedOn w:val="CommentTextChar"/>
    <w:link w:val="CommentSubject"/>
    <w:uiPriority w:val="99"/>
    <w:semiHidden/>
    <w:rsid w:val="00216C30"/>
    <w:rPr>
      <w:b/>
      <w:bCs/>
      <w:sz w:val="20"/>
      <w:szCs w:val="20"/>
    </w:rPr>
  </w:style>
  <w:style w:type="character" w:styleId="Hyperlink">
    <w:name w:val="Hyperlink"/>
    <w:basedOn w:val="DefaultParagraphFont"/>
    <w:uiPriority w:val="99"/>
    <w:semiHidden/>
    <w:unhideWhenUsed/>
    <w:rsid w:val="007A513B"/>
    <w:rPr>
      <w:color w:val="0000FF"/>
      <w:u w:val="single"/>
    </w:rPr>
  </w:style>
  <w:style w:type="table" w:customStyle="1" w:styleId="TabelaSimples11">
    <w:name w:val="Tabela Simples 11"/>
    <w:basedOn w:val="TableNormal"/>
    <w:uiPriority w:val="99"/>
    <w:rsid w:val="00676B1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4-nfase11">
    <w:name w:val="Tabela de Grade 4 - Ênfase 11"/>
    <w:basedOn w:val="TableNormal"/>
    <w:uiPriority w:val="49"/>
    <w:rsid w:val="00676B1B"/>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62419E"/>
    <w:pPr>
      <w:spacing w:before="100" w:beforeAutospacing="1" w:after="100" w:afterAutospacing="1" w:line="240" w:lineRule="auto"/>
    </w:pPr>
    <w:rPr>
      <w:rFonts w:ascii="Times New Roman" w:eastAsiaTheme="minorHAnsi" w:hAnsi="Times New Roman" w:cs="Times New Roman"/>
      <w:sz w:val="24"/>
      <w:szCs w:val="24"/>
      <w:lang w:val="pt-BR"/>
    </w:rPr>
  </w:style>
  <w:style w:type="character" w:customStyle="1" w:styleId="normaltextrun">
    <w:name w:val="normaltextrun"/>
    <w:basedOn w:val="DefaultParagraphFont"/>
    <w:rsid w:val="0062419E"/>
  </w:style>
  <w:style w:type="character" w:customStyle="1" w:styleId="eop">
    <w:name w:val="eop"/>
    <w:basedOn w:val="DefaultParagraphFont"/>
    <w:rsid w:val="0062419E"/>
  </w:style>
  <w:style w:type="character" w:customStyle="1" w:styleId="article-headerdoi">
    <w:name w:val="article-header__doi"/>
    <w:basedOn w:val="DefaultParagraphFont"/>
    <w:rsid w:val="00B47E04"/>
  </w:style>
  <w:style w:type="character" w:styleId="Emphasis">
    <w:name w:val="Emphasis"/>
    <w:basedOn w:val="DefaultParagraphFont"/>
    <w:uiPriority w:val="20"/>
    <w:qFormat/>
    <w:rsid w:val="00D855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7193">
      <w:bodyDiv w:val="1"/>
      <w:marLeft w:val="0"/>
      <w:marRight w:val="0"/>
      <w:marTop w:val="0"/>
      <w:marBottom w:val="0"/>
      <w:divBdr>
        <w:top w:val="none" w:sz="0" w:space="0" w:color="auto"/>
        <w:left w:val="none" w:sz="0" w:space="0" w:color="auto"/>
        <w:bottom w:val="none" w:sz="0" w:space="0" w:color="auto"/>
        <w:right w:val="none" w:sz="0" w:space="0" w:color="auto"/>
      </w:divBdr>
    </w:div>
    <w:div w:id="86118565">
      <w:bodyDiv w:val="1"/>
      <w:marLeft w:val="0"/>
      <w:marRight w:val="0"/>
      <w:marTop w:val="0"/>
      <w:marBottom w:val="0"/>
      <w:divBdr>
        <w:top w:val="none" w:sz="0" w:space="0" w:color="auto"/>
        <w:left w:val="none" w:sz="0" w:space="0" w:color="auto"/>
        <w:bottom w:val="none" w:sz="0" w:space="0" w:color="auto"/>
        <w:right w:val="none" w:sz="0" w:space="0" w:color="auto"/>
      </w:divBdr>
    </w:div>
    <w:div w:id="87698628">
      <w:bodyDiv w:val="1"/>
      <w:marLeft w:val="0"/>
      <w:marRight w:val="0"/>
      <w:marTop w:val="0"/>
      <w:marBottom w:val="0"/>
      <w:divBdr>
        <w:top w:val="none" w:sz="0" w:space="0" w:color="auto"/>
        <w:left w:val="none" w:sz="0" w:space="0" w:color="auto"/>
        <w:bottom w:val="none" w:sz="0" w:space="0" w:color="auto"/>
        <w:right w:val="none" w:sz="0" w:space="0" w:color="auto"/>
      </w:divBdr>
    </w:div>
    <w:div w:id="325401616">
      <w:bodyDiv w:val="1"/>
      <w:marLeft w:val="0"/>
      <w:marRight w:val="0"/>
      <w:marTop w:val="0"/>
      <w:marBottom w:val="0"/>
      <w:divBdr>
        <w:top w:val="none" w:sz="0" w:space="0" w:color="auto"/>
        <w:left w:val="none" w:sz="0" w:space="0" w:color="auto"/>
        <w:bottom w:val="none" w:sz="0" w:space="0" w:color="auto"/>
        <w:right w:val="none" w:sz="0" w:space="0" w:color="auto"/>
      </w:divBdr>
    </w:div>
    <w:div w:id="422072244">
      <w:bodyDiv w:val="1"/>
      <w:marLeft w:val="0"/>
      <w:marRight w:val="0"/>
      <w:marTop w:val="0"/>
      <w:marBottom w:val="0"/>
      <w:divBdr>
        <w:top w:val="none" w:sz="0" w:space="0" w:color="auto"/>
        <w:left w:val="none" w:sz="0" w:space="0" w:color="auto"/>
        <w:bottom w:val="none" w:sz="0" w:space="0" w:color="auto"/>
        <w:right w:val="none" w:sz="0" w:space="0" w:color="auto"/>
      </w:divBdr>
    </w:div>
    <w:div w:id="543754559">
      <w:bodyDiv w:val="1"/>
      <w:marLeft w:val="0"/>
      <w:marRight w:val="0"/>
      <w:marTop w:val="0"/>
      <w:marBottom w:val="0"/>
      <w:divBdr>
        <w:top w:val="none" w:sz="0" w:space="0" w:color="auto"/>
        <w:left w:val="none" w:sz="0" w:space="0" w:color="auto"/>
        <w:bottom w:val="none" w:sz="0" w:space="0" w:color="auto"/>
        <w:right w:val="none" w:sz="0" w:space="0" w:color="auto"/>
      </w:divBdr>
    </w:div>
    <w:div w:id="715088182">
      <w:bodyDiv w:val="1"/>
      <w:marLeft w:val="0"/>
      <w:marRight w:val="0"/>
      <w:marTop w:val="0"/>
      <w:marBottom w:val="0"/>
      <w:divBdr>
        <w:top w:val="none" w:sz="0" w:space="0" w:color="auto"/>
        <w:left w:val="none" w:sz="0" w:space="0" w:color="auto"/>
        <w:bottom w:val="none" w:sz="0" w:space="0" w:color="auto"/>
        <w:right w:val="none" w:sz="0" w:space="0" w:color="auto"/>
      </w:divBdr>
    </w:div>
    <w:div w:id="719788241">
      <w:bodyDiv w:val="1"/>
      <w:marLeft w:val="0"/>
      <w:marRight w:val="0"/>
      <w:marTop w:val="0"/>
      <w:marBottom w:val="0"/>
      <w:divBdr>
        <w:top w:val="none" w:sz="0" w:space="0" w:color="auto"/>
        <w:left w:val="none" w:sz="0" w:space="0" w:color="auto"/>
        <w:bottom w:val="none" w:sz="0" w:space="0" w:color="auto"/>
        <w:right w:val="none" w:sz="0" w:space="0" w:color="auto"/>
      </w:divBdr>
    </w:div>
    <w:div w:id="742722942">
      <w:bodyDiv w:val="1"/>
      <w:marLeft w:val="0"/>
      <w:marRight w:val="0"/>
      <w:marTop w:val="0"/>
      <w:marBottom w:val="0"/>
      <w:divBdr>
        <w:top w:val="none" w:sz="0" w:space="0" w:color="auto"/>
        <w:left w:val="none" w:sz="0" w:space="0" w:color="auto"/>
        <w:bottom w:val="none" w:sz="0" w:space="0" w:color="auto"/>
        <w:right w:val="none" w:sz="0" w:space="0" w:color="auto"/>
      </w:divBdr>
    </w:div>
    <w:div w:id="747309372">
      <w:bodyDiv w:val="1"/>
      <w:marLeft w:val="0"/>
      <w:marRight w:val="0"/>
      <w:marTop w:val="0"/>
      <w:marBottom w:val="0"/>
      <w:divBdr>
        <w:top w:val="none" w:sz="0" w:space="0" w:color="auto"/>
        <w:left w:val="none" w:sz="0" w:space="0" w:color="auto"/>
        <w:bottom w:val="none" w:sz="0" w:space="0" w:color="auto"/>
        <w:right w:val="none" w:sz="0" w:space="0" w:color="auto"/>
      </w:divBdr>
    </w:div>
    <w:div w:id="749355984">
      <w:bodyDiv w:val="1"/>
      <w:marLeft w:val="0"/>
      <w:marRight w:val="0"/>
      <w:marTop w:val="0"/>
      <w:marBottom w:val="0"/>
      <w:divBdr>
        <w:top w:val="none" w:sz="0" w:space="0" w:color="auto"/>
        <w:left w:val="none" w:sz="0" w:space="0" w:color="auto"/>
        <w:bottom w:val="none" w:sz="0" w:space="0" w:color="auto"/>
        <w:right w:val="none" w:sz="0" w:space="0" w:color="auto"/>
      </w:divBdr>
    </w:div>
    <w:div w:id="1132794681">
      <w:bodyDiv w:val="1"/>
      <w:marLeft w:val="0"/>
      <w:marRight w:val="0"/>
      <w:marTop w:val="0"/>
      <w:marBottom w:val="0"/>
      <w:divBdr>
        <w:top w:val="none" w:sz="0" w:space="0" w:color="auto"/>
        <w:left w:val="none" w:sz="0" w:space="0" w:color="auto"/>
        <w:bottom w:val="none" w:sz="0" w:space="0" w:color="auto"/>
        <w:right w:val="none" w:sz="0" w:space="0" w:color="auto"/>
      </w:divBdr>
    </w:div>
    <w:div w:id="1344934564">
      <w:bodyDiv w:val="1"/>
      <w:marLeft w:val="0"/>
      <w:marRight w:val="0"/>
      <w:marTop w:val="0"/>
      <w:marBottom w:val="0"/>
      <w:divBdr>
        <w:top w:val="none" w:sz="0" w:space="0" w:color="auto"/>
        <w:left w:val="none" w:sz="0" w:space="0" w:color="auto"/>
        <w:bottom w:val="none" w:sz="0" w:space="0" w:color="auto"/>
        <w:right w:val="none" w:sz="0" w:space="0" w:color="auto"/>
      </w:divBdr>
    </w:div>
    <w:div w:id="1382751646">
      <w:bodyDiv w:val="1"/>
      <w:marLeft w:val="0"/>
      <w:marRight w:val="0"/>
      <w:marTop w:val="0"/>
      <w:marBottom w:val="0"/>
      <w:divBdr>
        <w:top w:val="none" w:sz="0" w:space="0" w:color="auto"/>
        <w:left w:val="none" w:sz="0" w:space="0" w:color="auto"/>
        <w:bottom w:val="none" w:sz="0" w:space="0" w:color="auto"/>
        <w:right w:val="none" w:sz="0" w:space="0" w:color="auto"/>
      </w:divBdr>
    </w:div>
    <w:div w:id="1457723568">
      <w:bodyDiv w:val="1"/>
      <w:marLeft w:val="0"/>
      <w:marRight w:val="0"/>
      <w:marTop w:val="0"/>
      <w:marBottom w:val="0"/>
      <w:divBdr>
        <w:top w:val="none" w:sz="0" w:space="0" w:color="auto"/>
        <w:left w:val="none" w:sz="0" w:space="0" w:color="auto"/>
        <w:bottom w:val="none" w:sz="0" w:space="0" w:color="auto"/>
        <w:right w:val="none" w:sz="0" w:space="0" w:color="auto"/>
      </w:divBdr>
    </w:div>
    <w:div w:id="1537305407">
      <w:bodyDiv w:val="1"/>
      <w:marLeft w:val="0"/>
      <w:marRight w:val="0"/>
      <w:marTop w:val="0"/>
      <w:marBottom w:val="0"/>
      <w:divBdr>
        <w:top w:val="none" w:sz="0" w:space="0" w:color="auto"/>
        <w:left w:val="none" w:sz="0" w:space="0" w:color="auto"/>
        <w:bottom w:val="none" w:sz="0" w:space="0" w:color="auto"/>
        <w:right w:val="none" w:sz="0" w:space="0" w:color="auto"/>
      </w:divBdr>
    </w:div>
    <w:div w:id="1725639393">
      <w:bodyDiv w:val="1"/>
      <w:marLeft w:val="0"/>
      <w:marRight w:val="0"/>
      <w:marTop w:val="0"/>
      <w:marBottom w:val="0"/>
      <w:divBdr>
        <w:top w:val="none" w:sz="0" w:space="0" w:color="auto"/>
        <w:left w:val="none" w:sz="0" w:space="0" w:color="auto"/>
        <w:bottom w:val="none" w:sz="0" w:space="0" w:color="auto"/>
        <w:right w:val="none" w:sz="0" w:space="0" w:color="auto"/>
      </w:divBdr>
    </w:div>
    <w:div w:id="1858883659">
      <w:bodyDiv w:val="1"/>
      <w:marLeft w:val="0"/>
      <w:marRight w:val="0"/>
      <w:marTop w:val="0"/>
      <w:marBottom w:val="0"/>
      <w:divBdr>
        <w:top w:val="none" w:sz="0" w:space="0" w:color="auto"/>
        <w:left w:val="none" w:sz="0" w:space="0" w:color="auto"/>
        <w:bottom w:val="none" w:sz="0" w:space="0" w:color="auto"/>
        <w:right w:val="none" w:sz="0" w:space="0" w:color="auto"/>
      </w:divBdr>
    </w:div>
    <w:div w:id="1914848705">
      <w:bodyDiv w:val="1"/>
      <w:marLeft w:val="0"/>
      <w:marRight w:val="0"/>
      <w:marTop w:val="0"/>
      <w:marBottom w:val="0"/>
      <w:divBdr>
        <w:top w:val="none" w:sz="0" w:space="0" w:color="auto"/>
        <w:left w:val="none" w:sz="0" w:space="0" w:color="auto"/>
        <w:bottom w:val="none" w:sz="0" w:space="0" w:color="auto"/>
        <w:right w:val="none" w:sz="0" w:space="0" w:color="auto"/>
      </w:divBdr>
    </w:div>
    <w:div w:id="1982884568">
      <w:bodyDiv w:val="1"/>
      <w:marLeft w:val="0"/>
      <w:marRight w:val="0"/>
      <w:marTop w:val="0"/>
      <w:marBottom w:val="0"/>
      <w:divBdr>
        <w:top w:val="none" w:sz="0" w:space="0" w:color="auto"/>
        <w:left w:val="none" w:sz="0" w:space="0" w:color="auto"/>
        <w:bottom w:val="none" w:sz="0" w:space="0" w:color="auto"/>
        <w:right w:val="none" w:sz="0" w:space="0" w:color="auto"/>
      </w:divBdr>
    </w:div>
    <w:div w:id="2002659501">
      <w:bodyDiv w:val="1"/>
      <w:marLeft w:val="0"/>
      <w:marRight w:val="0"/>
      <w:marTop w:val="0"/>
      <w:marBottom w:val="0"/>
      <w:divBdr>
        <w:top w:val="none" w:sz="0" w:space="0" w:color="auto"/>
        <w:left w:val="none" w:sz="0" w:space="0" w:color="auto"/>
        <w:bottom w:val="none" w:sz="0" w:space="0" w:color="auto"/>
        <w:right w:val="none" w:sz="0" w:space="0" w:color="auto"/>
      </w:divBdr>
    </w:div>
    <w:div w:id="2056849803">
      <w:bodyDiv w:val="1"/>
      <w:marLeft w:val="0"/>
      <w:marRight w:val="0"/>
      <w:marTop w:val="0"/>
      <w:marBottom w:val="0"/>
      <w:divBdr>
        <w:top w:val="none" w:sz="0" w:space="0" w:color="auto"/>
        <w:left w:val="none" w:sz="0" w:space="0" w:color="auto"/>
        <w:bottom w:val="none" w:sz="0" w:space="0" w:color="auto"/>
        <w:right w:val="none" w:sz="0" w:space="0" w:color="auto"/>
      </w:divBdr>
    </w:div>
    <w:div w:id="210541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br/s/ref=dp_byline_sr_book_1?ie=UTF8&amp;field-author=Michael+F.+Drummond&amp;search-alias=books" TargetMode="External"/><Relationship Id="rId18" Type="http://schemas.openxmlformats.org/officeDocument/2006/relationships/hyperlink" Target="https://www.cebm.net/index.aspx?o=5653" TargetMode="External"/><Relationship Id="rId26" Type="http://schemas.openxmlformats.org/officeDocument/2006/relationships/hyperlink" Target="https://www.ncbi.nlm.nih.gov/pubmed/?term=Wilson%20L%5BAuthor%5D&amp;cauthor=true&amp;cauthor_uid=20210602" TargetMode="External"/><Relationship Id="rId3" Type="http://schemas.openxmlformats.org/officeDocument/2006/relationships/styles" Target="styles.xml"/><Relationship Id="rId21" Type="http://schemas.openxmlformats.org/officeDocument/2006/relationships/hyperlink" Target="https://www.ncbi.nlm.nih.gov/pubmed/?term=Petrou%20S%5BAuthor%5D&amp;cauthor=true&amp;cauthor_uid=235261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selho.saude.gov.br/resolucoes/2012/Reso466.pdf" TargetMode="External"/><Relationship Id="rId17" Type="http://schemas.openxmlformats.org/officeDocument/2006/relationships/hyperlink" Target="https://www.ncbi.nlm.nih.gov/pubmed/10109801" TargetMode="External"/><Relationship Id="rId25" Type="http://schemas.openxmlformats.org/officeDocument/2006/relationships/hyperlink" Target="https://doi.org/10.1136/bmj.c33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a.europa.eu/en/ich-e6-r2-good-clinical-practice" TargetMode="External"/><Relationship Id="rId20" Type="http://schemas.openxmlformats.org/officeDocument/2006/relationships/hyperlink" Target="https://www.ncbi.nlm.nih.gov/pubmed/?term=Drummond%20M%5BAuthor%5D&amp;cauthor=true&amp;cauthor_uid=23526140" TargetMode="External"/><Relationship Id="rId29" Type="http://schemas.openxmlformats.org/officeDocument/2006/relationships/hyperlink" Target="https://www.ncbi.nlm.nih.gov/pubmed/20210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anvisa.gov.br/documents/33836/2492465/Manual+para+Notifica%C3%A7%C3%A3o+de+Eventos+Adversos+e+Monitoramento+de+Seguran%C3%A7a+em+Ensaios+Cl%C3%ADnicos+-+1%C2%AA+Edi%C3%A7%C3%A3o/04a68574-8aac-43c9-b0b2-7b7cd80831c4" TargetMode="External"/><Relationship Id="rId24" Type="http://schemas.openxmlformats.org/officeDocument/2006/relationships/hyperlink" Target="https://www.bmj.com/content/340/bmj.c33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mazon.com.br/s/ref=dp_byline_sr_book_3?ie=UTF8&amp;field-author=George+W.+Torrance&amp;search-alias=books" TargetMode="External"/><Relationship Id="rId23" Type="http://schemas.openxmlformats.org/officeDocument/2006/relationships/hyperlink" Target="https://clinicaltrials.gov/ct2/show/NCT01048138?term=biperideno&amp;rank=1" TargetMode="External"/><Relationship Id="rId28" Type="http://schemas.openxmlformats.org/officeDocument/2006/relationships/hyperlink" Target="https://www.ncbi.nlm.nih.gov/pubmed/?term=QOLIBRI%20Task%20Force%5BCorporate%20Author%5D" TargetMode="External"/><Relationship Id="rId10" Type="http://schemas.openxmlformats.org/officeDocument/2006/relationships/image" Target="media/image3.emf"/><Relationship Id="rId19" Type="http://schemas.openxmlformats.org/officeDocument/2006/relationships/hyperlink" Target="https://www.ncbi.nlm.nih.gov/pubmed/?term=Husereau%20D%5BAuthor%5D&amp;cauthor=true&amp;cauthor_uid=2352614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mazon.com.br/s/ref=dp_byline_sr_book_2?ie=UTF8&amp;field-author=Mark+J.+Sculpher&amp;search-alias=books" TargetMode="External"/><Relationship Id="rId22" Type="http://schemas.openxmlformats.org/officeDocument/2006/relationships/hyperlink" Target="https://www.ncbi.nlm.nih.gov/pubmed/23526140" TargetMode="External"/><Relationship Id="rId27" Type="http://schemas.openxmlformats.org/officeDocument/2006/relationships/hyperlink" Target="https://www.ncbi.nlm.nih.gov/pubmed/?term=Gibbons%20H%5BAuthor%5D&amp;cauthor=true&amp;cauthor_uid=20210602" TargetMode="External"/><Relationship Id="rId30" Type="http://schemas.openxmlformats.org/officeDocument/2006/relationships/hyperlink" Target="http://www.wma.net/en/30publications/10policies/b3/17c.pdf"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B0CA-3306-4EED-BE84-AEA33FBB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11065</Words>
  <Characters>63073</Characters>
  <Application>Microsoft Office Word</Application>
  <DocSecurity>0</DocSecurity>
  <Lines>525</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Hospital Sírio Libanês</Company>
  <LinksUpToDate>false</LinksUpToDate>
  <CharactersWithSpaces>73991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Juk</dc:creator>
  <cp:keywords/>
  <dc:description/>
  <cp:lastModifiedBy>Maira</cp:lastModifiedBy>
  <cp:revision>2</cp:revision>
  <dcterms:created xsi:type="dcterms:W3CDTF">2022-08-12T20:16:00Z</dcterms:created>
  <dcterms:modified xsi:type="dcterms:W3CDTF">2022-08-12T20:16:00Z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68cc8ca8-ddb8-3cff-8ebf-5be7272c57d5</vt:lpwstr>
  </property>
  <property fmtid="{D5CDD505-2E9C-101B-9397-08002B2CF9AE}" pid="24" name="Mendeley Citation Style_1">
    <vt:lpwstr>http://www.zotero.org/styles/vancouver</vt:lpwstr>
  </property>
</Properties>
</file>