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31050" w14:textId="23DA300A" w:rsidR="000825A9" w:rsidRDefault="003934A8" w:rsidP="003B5AB4">
      <w:pPr>
        <w:suppressLineNumbers/>
        <w:spacing w:before="40" w:line="280" w:lineRule="exact"/>
        <w:ind w:right="-1136"/>
        <w:rPr>
          <w:rFonts w:ascii="AZGCaspariTMedium" w:hAnsi="AZGCaspariTMedium"/>
          <w:sz w:val="16"/>
        </w:rPr>
      </w:pPr>
      <w:r>
        <w:rPr>
          <w:noProof/>
          <w:lang w:eastAsia="en-US"/>
        </w:rPr>
        <w:drawing>
          <wp:anchor distT="0" distB="0" distL="114300" distR="114300" simplePos="0" relativeHeight="251660800" behindDoc="1" locked="0" layoutInCell="1" allowOverlap="1" wp14:anchorId="1C23070D" wp14:editId="35D24340">
            <wp:simplePos x="0" y="0"/>
            <wp:positionH relativeFrom="column">
              <wp:posOffset>3035300</wp:posOffset>
            </wp:positionH>
            <wp:positionV relativeFrom="paragraph">
              <wp:posOffset>49530</wp:posOffset>
            </wp:positionV>
            <wp:extent cx="2743200" cy="342900"/>
            <wp:effectExtent l="0" t="0" r="0" b="0"/>
            <wp:wrapTight wrapText="bothSides">
              <wp:wrapPolygon edited="0">
                <wp:start x="0" y="0"/>
                <wp:lineTo x="0" y="20400"/>
                <wp:lineTo x="21450" y="20400"/>
                <wp:lineTo x="214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342900"/>
                    </a:xfrm>
                    <a:prstGeom prst="rect">
                      <a:avLst/>
                    </a:prstGeom>
                    <a:noFill/>
                  </pic:spPr>
                </pic:pic>
              </a:graphicData>
            </a:graphic>
          </wp:anchor>
        </w:drawing>
      </w:r>
    </w:p>
    <w:p w14:paraId="0FA5B84A" w14:textId="646E2E95" w:rsidR="007E1461" w:rsidRDefault="007E1461" w:rsidP="003B5AB4">
      <w:pPr>
        <w:suppressLineNumbers/>
        <w:spacing w:line="280" w:lineRule="exact"/>
      </w:pPr>
    </w:p>
    <w:p w14:paraId="639B9F96" w14:textId="77777777" w:rsidR="007E1461" w:rsidRPr="007E1461" w:rsidRDefault="007E1461" w:rsidP="003B5AB4">
      <w:pPr>
        <w:suppressLineNumbers/>
        <w:spacing w:line="280" w:lineRule="exact"/>
      </w:pPr>
    </w:p>
    <w:p w14:paraId="644619E0" w14:textId="3EC9EC82" w:rsidR="007E1461" w:rsidRPr="007E1461" w:rsidRDefault="00A45672" w:rsidP="003B5AB4">
      <w:pPr>
        <w:suppressLineNumbers/>
        <w:spacing w:line="280" w:lineRule="exact"/>
      </w:pPr>
      <w:r>
        <w:rPr>
          <w:noProof/>
          <w:lang w:eastAsia="en-US"/>
        </w:rPr>
        <mc:AlternateContent>
          <mc:Choice Requires="wps">
            <w:drawing>
              <wp:anchor distT="0" distB="0" distL="114300" distR="114300" simplePos="0" relativeHeight="251659776" behindDoc="0" locked="0" layoutInCell="1" allowOverlap="1" wp14:anchorId="6EC9399E" wp14:editId="60B3E793">
                <wp:simplePos x="0" y="0"/>
                <wp:positionH relativeFrom="column">
                  <wp:posOffset>3063875</wp:posOffset>
                </wp:positionH>
                <wp:positionV relativeFrom="paragraph">
                  <wp:posOffset>5080</wp:posOffset>
                </wp:positionV>
                <wp:extent cx="2695575" cy="1000125"/>
                <wp:effectExtent l="0" t="0" r="9525" b="952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76357" w14:textId="288FBE74" w:rsidR="0017679C" w:rsidRDefault="006A5566">
                            <w:pPr>
                              <w:rPr>
                                <w:b/>
                                <w:sz w:val="20"/>
                              </w:rPr>
                            </w:pPr>
                            <w:r>
                              <w:rPr>
                                <w:b/>
                                <w:sz w:val="20"/>
                              </w:rPr>
                              <w:t>Early Cancer Institute</w:t>
                            </w:r>
                          </w:p>
                          <w:p w14:paraId="2D8A1F4A" w14:textId="77777777" w:rsidR="003934A8" w:rsidRDefault="003934A8">
                            <w:pPr>
                              <w:rPr>
                                <w:b/>
                                <w:sz w:val="20"/>
                              </w:rPr>
                            </w:pPr>
                          </w:p>
                          <w:p w14:paraId="5133AF07" w14:textId="77777777" w:rsidR="003934A8" w:rsidRDefault="003934A8">
                            <w:r w:rsidRPr="000D7994">
                              <w:t>Cambridge Biomedical Campus</w:t>
                            </w:r>
                          </w:p>
                          <w:p w14:paraId="27802CF0" w14:textId="77777777" w:rsidR="003934A8" w:rsidRDefault="003934A8">
                            <w:r w:rsidRPr="000D7994">
                              <w:t>Box 197, CB20XZ</w:t>
                            </w:r>
                          </w:p>
                          <w:p w14:paraId="600B828A" w14:textId="229E28CB" w:rsidR="006A5566" w:rsidRPr="0017679C" w:rsidRDefault="003934A8">
                            <w:pPr>
                              <w:rPr>
                                <w:sz w:val="20"/>
                              </w:rPr>
                            </w:pPr>
                            <w:r w:rsidRPr="000D7994">
                              <w:t>Cambridge</w:t>
                            </w:r>
                            <w:r>
                              <w:t>, UK</w:t>
                            </w:r>
                          </w:p>
                          <w:p w14:paraId="19EAF964" w14:textId="77777777" w:rsidR="0017679C" w:rsidRPr="0017679C" w:rsidRDefault="0017679C">
                            <w:pPr>
                              <w:rPr>
                                <w:sz w:val="20"/>
                              </w:rPr>
                            </w:pPr>
                          </w:p>
                          <w:p w14:paraId="666E43AC" w14:textId="77777777" w:rsidR="0017679C" w:rsidRPr="0017679C" w:rsidRDefault="0017679C">
                            <w:pPr>
                              <w:rPr>
                                <w:sz w:val="18"/>
                                <w:szCs w:val="18"/>
                              </w:rPr>
                            </w:pPr>
                          </w:p>
                          <w:p w14:paraId="2F270F3A" w14:textId="77777777" w:rsidR="0017679C" w:rsidRPr="0017679C" w:rsidRDefault="0017679C">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C9399E" id="_x0000_t202" coordsize="21600,21600" o:spt="202" path="m,l,21600r21600,l21600,xe">
                <v:stroke joinstyle="miter"/>
                <v:path gradientshapeok="t" o:connecttype="rect"/>
              </v:shapetype>
              <v:shape id="Text Box 27" o:spid="_x0000_s1026" type="#_x0000_t202" style="position:absolute;margin-left:241.25pt;margin-top:.4pt;width:212.25pt;height:7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SShAIAABE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" stroked="f">
                <v:textbox>
                  <w:txbxContent>
                    <w:p w14:paraId="5A376357" w14:textId="288FBE74" w:rsidR="0017679C" w:rsidRDefault="006A5566">
                      <w:pPr>
                        <w:rPr>
                          <w:b/>
                          <w:sz w:val="20"/>
                        </w:rPr>
                      </w:pPr>
                      <w:r>
                        <w:rPr>
                          <w:b/>
                          <w:sz w:val="20"/>
                        </w:rPr>
                        <w:t>Early Cancer Institute</w:t>
                      </w:r>
                    </w:p>
                    <w:p w14:paraId="2D8A1F4A" w14:textId="77777777" w:rsidR="003934A8" w:rsidRDefault="003934A8">
                      <w:pPr>
                        <w:rPr>
                          <w:b/>
                          <w:sz w:val="20"/>
                        </w:rPr>
                      </w:pPr>
                    </w:p>
                    <w:p w14:paraId="5133AF07" w14:textId="77777777" w:rsidR="003934A8" w:rsidRDefault="003934A8">
                      <w:r w:rsidRPr="000D7994">
                        <w:t>Cambridge Biomedical Campus</w:t>
                      </w:r>
                    </w:p>
                    <w:p w14:paraId="27802CF0" w14:textId="77777777" w:rsidR="003934A8" w:rsidRDefault="003934A8">
                      <w:r w:rsidRPr="000D7994">
                        <w:t>Box 197, CB20XZ</w:t>
                      </w:r>
                    </w:p>
                    <w:p w14:paraId="600B828A" w14:textId="229E28CB" w:rsidR="006A5566" w:rsidRPr="0017679C" w:rsidRDefault="003934A8">
                      <w:pPr>
                        <w:rPr>
                          <w:sz w:val="20"/>
                        </w:rPr>
                      </w:pPr>
                      <w:r w:rsidRPr="000D7994">
                        <w:t>Cambridge</w:t>
                      </w:r>
                      <w:r>
                        <w:t>, UK</w:t>
                      </w:r>
                    </w:p>
                    <w:p w14:paraId="19EAF964" w14:textId="77777777" w:rsidR="0017679C" w:rsidRPr="0017679C" w:rsidRDefault="0017679C">
                      <w:pPr>
                        <w:rPr>
                          <w:sz w:val="20"/>
                        </w:rPr>
                      </w:pPr>
                    </w:p>
                    <w:p w14:paraId="666E43AC" w14:textId="77777777" w:rsidR="0017679C" w:rsidRPr="0017679C" w:rsidRDefault="0017679C">
                      <w:pPr>
                        <w:rPr>
                          <w:sz w:val="18"/>
                          <w:szCs w:val="18"/>
                        </w:rPr>
                      </w:pPr>
                    </w:p>
                    <w:p w14:paraId="2F270F3A" w14:textId="77777777" w:rsidR="0017679C" w:rsidRPr="0017679C" w:rsidRDefault="0017679C">
                      <w:pPr>
                        <w:rPr>
                          <w:szCs w:val="22"/>
                        </w:rPr>
                      </w:pPr>
                    </w:p>
                  </w:txbxContent>
                </v:textbox>
              </v:shape>
            </w:pict>
          </mc:Fallback>
        </mc:AlternateContent>
      </w:r>
    </w:p>
    <w:p w14:paraId="705BA527" w14:textId="4426D5C1" w:rsidR="007E1461" w:rsidRPr="007E1461" w:rsidRDefault="007E1461" w:rsidP="003B5AB4">
      <w:pPr>
        <w:suppressLineNumbers/>
        <w:spacing w:line="280" w:lineRule="exact"/>
      </w:pPr>
    </w:p>
    <w:p w14:paraId="06DBAFE6" w14:textId="2896C7E8" w:rsidR="007E1461" w:rsidRPr="007E1461" w:rsidRDefault="00A45672" w:rsidP="003B5AB4">
      <w:pPr>
        <w:suppressLineNumbers/>
        <w:spacing w:line="280" w:lineRule="exact"/>
      </w:pPr>
      <w:r w:rsidRPr="0017679C">
        <w:rPr>
          <w:noProof/>
          <w:lang w:eastAsia="en-US"/>
        </w:rPr>
        <w:drawing>
          <wp:inline distT="0" distB="0" distL="0" distR="0" wp14:anchorId="7B0981C2" wp14:editId="36C3EB69">
            <wp:extent cx="4483100" cy="4699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0" cy="4699000"/>
                    </a:xfrm>
                    <a:prstGeom prst="rect">
                      <a:avLst/>
                    </a:prstGeom>
                    <a:noFill/>
                    <a:ln>
                      <a:noFill/>
                    </a:ln>
                  </pic:spPr>
                </pic:pic>
              </a:graphicData>
            </a:graphic>
          </wp:inline>
        </w:drawing>
      </w:r>
    </w:p>
    <w:p w14:paraId="34F7BF3B" w14:textId="74507171" w:rsidR="007E1461" w:rsidRPr="007E1461" w:rsidRDefault="007E1461" w:rsidP="003B5AB4">
      <w:pPr>
        <w:suppressLineNumbers/>
        <w:spacing w:line="280" w:lineRule="exact"/>
      </w:pPr>
    </w:p>
    <w:p w14:paraId="1F700883" w14:textId="16A83A87" w:rsidR="007E1461" w:rsidRDefault="007E1461" w:rsidP="003B5AB4">
      <w:pPr>
        <w:suppressLineNumbers/>
        <w:spacing w:line="280" w:lineRule="exact"/>
      </w:pPr>
    </w:p>
    <w:p w14:paraId="28034768" w14:textId="4B0D9AF7" w:rsidR="0017679C" w:rsidRDefault="0017679C" w:rsidP="003B5AB4">
      <w:pPr>
        <w:suppressLineNumbers/>
        <w:spacing w:line="280" w:lineRule="exact"/>
      </w:pPr>
    </w:p>
    <w:p w14:paraId="20D73501" w14:textId="1FBD1741" w:rsidR="0017679C" w:rsidRPr="007E1461" w:rsidRDefault="003934A8" w:rsidP="003B5AB4">
      <w:pPr>
        <w:suppressLineNumbers/>
        <w:spacing w:line="280" w:lineRule="exact"/>
      </w:pPr>
      <w:r w:rsidRPr="0017679C">
        <w:rPr>
          <w:noProof/>
          <w:lang w:eastAsia="en-US"/>
        </w:rPr>
        <w:drawing>
          <wp:inline distT="0" distB="0" distL="0" distR="0" wp14:anchorId="264ECAA8" wp14:editId="37C1595C">
            <wp:extent cx="4483100" cy="4699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0" cy="4699000"/>
                    </a:xfrm>
                    <a:prstGeom prst="rect">
                      <a:avLst/>
                    </a:prstGeom>
                    <a:noFill/>
                    <a:ln>
                      <a:noFill/>
                    </a:ln>
                  </pic:spPr>
                </pic:pic>
              </a:graphicData>
            </a:graphic>
          </wp:inline>
        </w:drawing>
      </w:r>
    </w:p>
    <w:p w14:paraId="7B192121" w14:textId="58ADEFED" w:rsidR="007E1461" w:rsidRDefault="007E1461" w:rsidP="003B5AB4">
      <w:pPr>
        <w:suppressLineNumbers/>
        <w:spacing w:line="280" w:lineRule="exact"/>
      </w:pPr>
    </w:p>
    <w:p w14:paraId="0E18F0EB" w14:textId="4936E98D" w:rsidR="0017679C" w:rsidRPr="007E1461" w:rsidRDefault="0017679C" w:rsidP="003B5AB4">
      <w:pPr>
        <w:suppressLineNumbers/>
        <w:spacing w:line="280" w:lineRule="exact"/>
      </w:pPr>
    </w:p>
    <w:p w14:paraId="6DDF19A5" w14:textId="77777777" w:rsidR="007E1461" w:rsidRPr="007E1461" w:rsidRDefault="00A45672" w:rsidP="003B5AB4">
      <w:pPr>
        <w:suppressLineNumbers/>
        <w:spacing w:line="280" w:lineRule="exact"/>
      </w:pPr>
      <w:r>
        <w:rPr>
          <w:noProof/>
          <w:lang w:eastAsia="en-US"/>
        </w:rPr>
        <mc:AlternateContent>
          <mc:Choice Requires="wps">
            <w:drawing>
              <wp:anchor distT="0" distB="0" distL="114300" distR="114300" simplePos="0" relativeHeight="251658752" behindDoc="0" locked="0" layoutInCell="1" allowOverlap="1" wp14:anchorId="5039D239" wp14:editId="20389E32">
                <wp:simplePos x="0" y="0"/>
                <wp:positionH relativeFrom="column">
                  <wp:posOffset>-71755</wp:posOffset>
                </wp:positionH>
                <wp:positionV relativeFrom="paragraph">
                  <wp:posOffset>132716</wp:posOffset>
                </wp:positionV>
                <wp:extent cx="3683726" cy="940526"/>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726" cy="940526"/>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61589" w14:textId="77777777" w:rsidR="0017679C" w:rsidRDefault="0017679C">
                            <w:pPr>
                              <w:rPr>
                                <w:rFonts w:ascii="AZGCaspariTMedium" w:hAnsi="AZGCaspariTMedium"/>
                                <w:sz w:val="16"/>
                              </w:rPr>
                            </w:pPr>
                            <w:r>
                              <w:rPr>
                                <w:rFonts w:ascii="AZGCaspariTMedium" w:hAnsi="AZGCaspariTMedium"/>
                                <w:sz w:val="16"/>
                              </w:rPr>
                              <w:t xml:space="preserve">To   </w:t>
                            </w:r>
                          </w:p>
                          <w:p w14:paraId="009EF185" w14:textId="331317BF" w:rsidR="0017679C" w:rsidRPr="00D42633" w:rsidRDefault="0017679C" w:rsidP="00490BEC">
                            <w:pPr>
                              <w:rPr>
                                <w:spacing w:val="4"/>
                                <w:szCs w:val="22"/>
                              </w:rPr>
                            </w:pPr>
                            <w:bookmarkStart w:id="0" w:name="Naam"/>
                            <w:bookmarkStart w:id="1" w:name="Naam2"/>
                            <w:bookmarkStart w:id="2" w:name="straat"/>
                            <w:bookmarkStart w:id="3" w:name="huisnummer"/>
                            <w:bookmarkStart w:id="4" w:name="huisnummertoevoeging"/>
                            <w:bookmarkStart w:id="5" w:name="postcode"/>
                            <w:bookmarkStart w:id="6" w:name="Woonplaats"/>
                            <w:bookmarkStart w:id="7" w:name="RelatieSoort"/>
                            <w:bookmarkEnd w:id="0"/>
                            <w:bookmarkEnd w:id="1"/>
                            <w:bookmarkEnd w:id="2"/>
                            <w:bookmarkEnd w:id="3"/>
                            <w:bookmarkEnd w:id="4"/>
                            <w:bookmarkEnd w:id="5"/>
                            <w:bookmarkEnd w:id="6"/>
                            <w:bookmarkEnd w:id="7"/>
                            <w:r w:rsidRPr="00D42633">
                              <w:rPr>
                                <w:rFonts w:cs="Arial"/>
                                <w:szCs w:val="22"/>
                                <w:lang w:val="en-GB"/>
                              </w:rPr>
                              <w:t xml:space="preserve">Editorial board of </w:t>
                            </w:r>
                            <w:r w:rsidR="0075519A">
                              <w:rPr>
                                <w:rFonts w:cs="Arial"/>
                                <w:szCs w:val="22"/>
                                <w:lang w:val="en-GB"/>
                              </w:rPr>
                              <w:t>Plos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39D239" id="Text Box 25" o:spid="_x0000_s1027" type="#_x0000_t202" style="position:absolute;margin-left:-5.65pt;margin-top:10.45pt;width:290.05pt;height: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" filled="f" fillcolor="#eaeaea" stroked="f">
                <v:textbox>
                  <w:txbxContent>
                    <w:p w14:paraId="30261589" w14:textId="77777777" w:rsidR="0017679C" w:rsidRDefault="0017679C">
                      <w:pPr>
                        <w:rPr>
                          <w:rFonts w:ascii="AZGCaspariTMedium" w:hAnsi="AZGCaspariTMedium"/>
                          <w:sz w:val="16"/>
                        </w:rPr>
                      </w:pPr>
                      <w:r>
                        <w:rPr>
                          <w:rFonts w:ascii="AZGCaspariTMedium" w:hAnsi="AZGCaspariTMedium"/>
                          <w:sz w:val="16"/>
                        </w:rPr>
                        <w:t xml:space="preserve">To   </w:t>
                      </w:r>
                    </w:p>
                    <w:p w14:paraId="009EF185" w14:textId="331317BF" w:rsidR="0017679C" w:rsidRPr="00D42633" w:rsidRDefault="0017679C" w:rsidP="00490BEC">
                      <w:pPr>
                        <w:rPr>
                          <w:spacing w:val="4"/>
                          <w:szCs w:val="22"/>
                        </w:rPr>
                      </w:pPr>
                      <w:bookmarkStart w:id="8" w:name="Naam"/>
                      <w:bookmarkStart w:id="9" w:name="Naam2"/>
                      <w:bookmarkStart w:id="10" w:name="straat"/>
                      <w:bookmarkStart w:id="11" w:name="huisnummer"/>
                      <w:bookmarkStart w:id="12" w:name="huisnummertoevoeging"/>
                      <w:bookmarkStart w:id="13" w:name="postcode"/>
                      <w:bookmarkStart w:id="14" w:name="Woonplaats"/>
                      <w:bookmarkStart w:id="15" w:name="RelatieSoort"/>
                      <w:bookmarkEnd w:id="8"/>
                      <w:bookmarkEnd w:id="9"/>
                      <w:bookmarkEnd w:id="10"/>
                      <w:bookmarkEnd w:id="11"/>
                      <w:bookmarkEnd w:id="12"/>
                      <w:bookmarkEnd w:id="13"/>
                      <w:bookmarkEnd w:id="14"/>
                      <w:bookmarkEnd w:id="15"/>
                      <w:r w:rsidRPr="00D42633">
                        <w:rPr>
                          <w:rFonts w:cs="Arial"/>
                          <w:szCs w:val="22"/>
                          <w:lang w:val="en-GB"/>
                        </w:rPr>
                        <w:t xml:space="preserve">Editorial board of </w:t>
                      </w:r>
                      <w:r w:rsidR="0075519A">
                        <w:rPr>
                          <w:rFonts w:cs="Arial"/>
                          <w:szCs w:val="22"/>
                          <w:lang w:val="en-GB"/>
                        </w:rPr>
                        <w:t>Plos One</w:t>
                      </w:r>
                    </w:p>
                  </w:txbxContent>
                </v:textbox>
              </v:shape>
            </w:pict>
          </mc:Fallback>
        </mc:AlternateContent>
      </w:r>
    </w:p>
    <w:p w14:paraId="22E7CA93" w14:textId="77777777" w:rsidR="007E1461" w:rsidRPr="007E1461" w:rsidRDefault="007E1461" w:rsidP="003B5AB4">
      <w:pPr>
        <w:suppressLineNumbers/>
        <w:spacing w:line="280" w:lineRule="exact"/>
      </w:pPr>
    </w:p>
    <w:p w14:paraId="31533827" w14:textId="77777777" w:rsidR="007E1461" w:rsidRPr="007E1461" w:rsidRDefault="007E1461" w:rsidP="003B5AB4">
      <w:pPr>
        <w:suppressLineNumbers/>
        <w:spacing w:line="280" w:lineRule="exact"/>
      </w:pPr>
    </w:p>
    <w:p w14:paraId="609E0655" w14:textId="77777777" w:rsidR="007E1461" w:rsidRPr="007E1461" w:rsidRDefault="00A45672" w:rsidP="003B5AB4">
      <w:pPr>
        <w:suppressLineNumbers/>
        <w:spacing w:line="280" w:lineRule="exact"/>
      </w:pPr>
      <w:r w:rsidRPr="0017679C">
        <w:rPr>
          <w:noProof/>
          <w:lang w:eastAsia="en-US"/>
        </w:rPr>
        <w:drawing>
          <wp:inline distT="0" distB="0" distL="0" distR="0" wp14:anchorId="79856A29" wp14:editId="0E468D40">
            <wp:extent cx="4483100" cy="4699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0" cy="4699000"/>
                    </a:xfrm>
                    <a:prstGeom prst="rect">
                      <a:avLst/>
                    </a:prstGeom>
                    <a:noFill/>
                    <a:ln>
                      <a:noFill/>
                    </a:ln>
                  </pic:spPr>
                </pic:pic>
              </a:graphicData>
            </a:graphic>
          </wp:inline>
        </w:drawing>
      </w:r>
    </w:p>
    <w:p w14:paraId="2965E6BD" w14:textId="77777777" w:rsidR="007E1461" w:rsidRPr="007E1461" w:rsidRDefault="007E1461" w:rsidP="003B5AB4">
      <w:pPr>
        <w:suppressLineNumbers/>
        <w:spacing w:line="280" w:lineRule="exact"/>
      </w:pPr>
    </w:p>
    <w:p w14:paraId="45519DCD" w14:textId="77777777" w:rsidR="0009071C" w:rsidRDefault="0009071C" w:rsidP="003B5AB4">
      <w:pPr>
        <w:suppressLineNumbers/>
        <w:spacing w:line="280" w:lineRule="exact"/>
      </w:pPr>
    </w:p>
    <w:p w14:paraId="671FA3B4" w14:textId="77777777" w:rsidR="007E1461" w:rsidRPr="007E1461" w:rsidRDefault="00A45672" w:rsidP="003B5AB4">
      <w:pPr>
        <w:suppressLineNumbers/>
        <w:spacing w:line="280" w:lineRule="exact"/>
      </w:pPr>
      <w:r>
        <w:rPr>
          <w:noProof/>
          <w:lang w:eastAsia="en-US"/>
        </w:rPr>
        <mc:AlternateContent>
          <mc:Choice Requires="wps">
            <w:drawing>
              <wp:anchor distT="0" distB="0" distL="114300" distR="114300" simplePos="0" relativeHeight="251657728" behindDoc="0" locked="0" layoutInCell="1" allowOverlap="1" wp14:anchorId="43A58885" wp14:editId="40733FF7">
                <wp:simplePos x="0" y="0"/>
                <wp:positionH relativeFrom="column">
                  <wp:posOffset>-91440</wp:posOffset>
                </wp:positionH>
                <wp:positionV relativeFrom="paragraph">
                  <wp:posOffset>165100</wp:posOffset>
                </wp:positionV>
                <wp:extent cx="5574665" cy="4572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45720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7A089" w14:textId="2BF5511A" w:rsidR="0017679C" w:rsidRDefault="0017679C" w:rsidP="004A2D9A">
                            <w:pPr>
                              <w:rPr>
                                <w:spacing w:val="4"/>
                              </w:rPr>
                            </w:pPr>
                            <w:r>
                              <w:rPr>
                                <w:rFonts w:ascii="AZGCaspariTMedium" w:hAnsi="AZGCaspariTMedium"/>
                                <w:sz w:val="16"/>
                              </w:rPr>
                              <w:t xml:space="preserve">Date   </w:t>
                            </w:r>
                            <w:r w:rsidR="006F1509">
                              <w:rPr>
                                <w:spacing w:val="4"/>
                              </w:rPr>
                              <w:t>April 14</w:t>
                            </w:r>
                            <w:r w:rsidR="006A5566" w:rsidRPr="006A5566">
                              <w:rPr>
                                <w:spacing w:val="4"/>
                                <w:vertAlign w:val="superscript"/>
                              </w:rPr>
                              <w:t>th</w:t>
                            </w:r>
                            <w:r w:rsidR="0075519A">
                              <w:rPr>
                                <w:spacing w:val="4"/>
                              </w:rPr>
                              <w:t>, 2023</w:t>
                            </w:r>
                          </w:p>
                          <w:p w14:paraId="1DE698D7" w14:textId="6E14F271" w:rsidR="0017679C" w:rsidRPr="003B5AB4" w:rsidRDefault="0017679C" w:rsidP="004A2D9A">
                            <w:pPr>
                              <w:rPr>
                                <w:spacing w:val="4"/>
                              </w:rPr>
                            </w:pPr>
                            <w:r>
                              <w:rPr>
                                <w:rFonts w:ascii="AZGCaspariTMedium" w:hAnsi="AZGCaspariTMedium"/>
                                <w:sz w:val="16"/>
                              </w:rPr>
                              <w:t xml:space="preserve">Re.   </w:t>
                            </w:r>
                            <w:r>
                              <w:rPr>
                                <w:spacing w:val="4"/>
                              </w:rPr>
                              <w:t xml:space="preserve">manuscript </w:t>
                            </w:r>
                            <w:r w:rsidR="0075497A">
                              <w:rPr>
                                <w:spacing w:val="4"/>
                              </w:rPr>
                              <w:t>re</w:t>
                            </w:r>
                            <w:r>
                              <w:rPr>
                                <w:spacing w:val="4"/>
                              </w:rPr>
                              <w:t>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58885" id="_x0000_t202" coordsize="21600,21600" o:spt="202" path="m,l,21600r21600,l21600,xe">
                <v:stroke joinstyle="miter"/>
                <v:path gradientshapeok="t" o:connecttype="rect"/>
              </v:shapetype>
              <v:shape id="Text Box 22" o:spid="_x0000_s1028" type="#_x0000_t202" style="position:absolute;margin-left:-7.2pt;margin-top:13pt;width:438.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" filled="f" fillcolor="#eaeaea" stroked="f">
                <v:textbox>
                  <w:txbxContent>
                    <w:p w14:paraId="7347A089" w14:textId="2BF5511A" w:rsidR="0017679C" w:rsidRDefault="0017679C" w:rsidP="004A2D9A">
                      <w:pPr>
                        <w:rPr>
                          <w:spacing w:val="4"/>
                        </w:rPr>
                      </w:pPr>
                      <w:r>
                        <w:rPr>
                          <w:rFonts w:ascii="AZGCaspariTMedium" w:hAnsi="AZGCaspariTMedium"/>
                          <w:sz w:val="16"/>
                        </w:rPr>
                        <w:t xml:space="preserve">Date   </w:t>
                      </w:r>
                      <w:r w:rsidR="006F1509">
                        <w:rPr>
                          <w:spacing w:val="4"/>
                        </w:rPr>
                        <w:t>April 14</w:t>
                      </w:r>
                      <w:r w:rsidR="006A5566" w:rsidRPr="006A5566">
                        <w:rPr>
                          <w:spacing w:val="4"/>
                          <w:vertAlign w:val="superscript"/>
                        </w:rPr>
                        <w:t>th</w:t>
                      </w:r>
                      <w:r w:rsidR="0075519A">
                        <w:rPr>
                          <w:spacing w:val="4"/>
                        </w:rPr>
                        <w:t>, 2023</w:t>
                      </w:r>
                    </w:p>
                    <w:p w14:paraId="1DE698D7" w14:textId="6E14F271" w:rsidR="0017679C" w:rsidRPr="003B5AB4" w:rsidRDefault="0017679C" w:rsidP="004A2D9A">
                      <w:pPr>
                        <w:rPr>
                          <w:spacing w:val="4"/>
                        </w:rPr>
                      </w:pPr>
                      <w:r>
                        <w:rPr>
                          <w:rFonts w:ascii="AZGCaspariTMedium" w:hAnsi="AZGCaspariTMedium"/>
                          <w:sz w:val="16"/>
                        </w:rPr>
                        <w:t xml:space="preserve">Re.   </w:t>
                      </w:r>
                      <w:r>
                        <w:rPr>
                          <w:spacing w:val="4"/>
                        </w:rPr>
                        <w:t xml:space="preserve">manuscript </w:t>
                      </w:r>
                      <w:r w:rsidR="0075497A">
                        <w:rPr>
                          <w:spacing w:val="4"/>
                        </w:rPr>
                        <w:t>re</w:t>
                      </w:r>
                      <w:r>
                        <w:rPr>
                          <w:spacing w:val="4"/>
                        </w:rPr>
                        <w:t>submission</w:t>
                      </w:r>
                    </w:p>
                  </w:txbxContent>
                </v:textbox>
              </v:shape>
            </w:pict>
          </mc:Fallback>
        </mc:AlternateContent>
      </w:r>
    </w:p>
    <w:p w14:paraId="43D80F40" w14:textId="77777777" w:rsidR="007E1461" w:rsidRPr="007E1461" w:rsidRDefault="007E1461" w:rsidP="003B5AB4">
      <w:pPr>
        <w:suppressLineNumbers/>
        <w:spacing w:line="280" w:lineRule="exact"/>
      </w:pPr>
    </w:p>
    <w:p w14:paraId="52CDE271" w14:textId="77777777" w:rsidR="007E1461" w:rsidRPr="007E1461" w:rsidRDefault="007E1461" w:rsidP="003B5AB4">
      <w:pPr>
        <w:suppressLineNumbers/>
        <w:spacing w:line="280" w:lineRule="exact"/>
      </w:pPr>
    </w:p>
    <w:p w14:paraId="3F74DADF" w14:textId="77777777" w:rsidR="007E1461" w:rsidRPr="007E1461" w:rsidRDefault="007E1461" w:rsidP="003B5AB4">
      <w:pPr>
        <w:suppressLineNumbers/>
        <w:spacing w:line="280" w:lineRule="exact"/>
      </w:pPr>
    </w:p>
    <w:p w14:paraId="00FD8458" w14:textId="77777777" w:rsidR="0017679C" w:rsidRDefault="0017679C" w:rsidP="003B5AB4">
      <w:pPr>
        <w:suppressLineNumbers/>
        <w:spacing w:line="280" w:lineRule="exact"/>
      </w:pPr>
    </w:p>
    <w:p w14:paraId="18CAC397" w14:textId="77777777" w:rsidR="00A20A1B" w:rsidRDefault="00A20A1B" w:rsidP="003B5AB4">
      <w:pPr>
        <w:suppressLineNumbers/>
        <w:spacing w:line="280" w:lineRule="exact"/>
      </w:pPr>
    </w:p>
    <w:p w14:paraId="35BE445C" w14:textId="33A1AD15" w:rsidR="00490BEC" w:rsidRPr="00490BEC" w:rsidRDefault="004B7D33" w:rsidP="00490BEC">
      <w:pPr>
        <w:rPr>
          <w:rFonts w:cs="Arial"/>
          <w:szCs w:val="22"/>
          <w:lang w:val="en-GB"/>
        </w:rPr>
      </w:pPr>
      <w:r>
        <w:rPr>
          <w:rFonts w:cs="Arial"/>
          <w:szCs w:val="22"/>
          <w:lang w:val="en-GB"/>
        </w:rPr>
        <w:t>Dea</w:t>
      </w:r>
      <w:r w:rsidR="00490BEC" w:rsidRPr="00490BEC">
        <w:rPr>
          <w:rFonts w:cs="Arial"/>
          <w:szCs w:val="22"/>
          <w:lang w:val="en-GB"/>
        </w:rPr>
        <w:t xml:space="preserve">r </w:t>
      </w:r>
      <w:r w:rsidR="00545D35" w:rsidRPr="00545D35">
        <w:rPr>
          <w:rFonts w:cs="Arial"/>
          <w:szCs w:val="22"/>
          <w:lang w:val="en-GB"/>
        </w:rPr>
        <w:t>Ozlem Boybeyi-Turer</w:t>
      </w:r>
      <w:r w:rsidR="00545D35">
        <w:rPr>
          <w:rFonts w:cs="Arial"/>
          <w:szCs w:val="22"/>
          <w:lang w:val="en-GB"/>
        </w:rPr>
        <w:t xml:space="preserve">, dear </w:t>
      </w:r>
      <w:r w:rsidR="00490BEC" w:rsidRPr="00490BEC">
        <w:rPr>
          <w:rFonts w:cs="Arial"/>
          <w:szCs w:val="22"/>
          <w:lang w:val="en-GB"/>
        </w:rPr>
        <w:t>editorial board</w:t>
      </w:r>
      <w:r w:rsidR="00545D35">
        <w:rPr>
          <w:rFonts w:cs="Arial"/>
          <w:szCs w:val="22"/>
          <w:lang w:val="en-GB"/>
        </w:rPr>
        <w:t xml:space="preserve"> and reviewers</w:t>
      </w:r>
      <w:r w:rsidR="00490BEC" w:rsidRPr="00490BEC">
        <w:rPr>
          <w:rFonts w:cs="Arial"/>
          <w:szCs w:val="22"/>
          <w:lang w:val="en-GB"/>
        </w:rPr>
        <w:t>,</w:t>
      </w:r>
      <w:r w:rsidR="00545D35">
        <w:rPr>
          <w:rFonts w:cs="Arial"/>
          <w:szCs w:val="22"/>
          <w:lang w:val="en-GB"/>
        </w:rPr>
        <w:t xml:space="preserve"> </w:t>
      </w:r>
    </w:p>
    <w:p w14:paraId="5F514DDB" w14:textId="77777777" w:rsidR="00490BEC" w:rsidRPr="00490BEC" w:rsidRDefault="00490BEC" w:rsidP="00490BEC">
      <w:pPr>
        <w:rPr>
          <w:rFonts w:cs="Arial"/>
          <w:szCs w:val="22"/>
          <w:lang w:val="en-GB"/>
        </w:rPr>
      </w:pPr>
    </w:p>
    <w:p w14:paraId="4D24B734" w14:textId="77777777" w:rsidR="00490BEC" w:rsidRPr="00490BEC" w:rsidRDefault="00490BEC" w:rsidP="00490BEC">
      <w:pPr>
        <w:rPr>
          <w:rFonts w:cs="Arial"/>
          <w:szCs w:val="22"/>
          <w:lang w:val="en-GB"/>
        </w:rPr>
      </w:pPr>
    </w:p>
    <w:p w14:paraId="4F341044" w14:textId="77777777" w:rsidR="006F1509" w:rsidRPr="00490BEC" w:rsidRDefault="006F1509" w:rsidP="006F1509">
      <w:pPr>
        <w:rPr>
          <w:rFonts w:cs="Arial"/>
          <w:szCs w:val="22"/>
          <w:lang w:val="en-GB"/>
        </w:rPr>
      </w:pPr>
      <w:r>
        <w:rPr>
          <w:rFonts w:cs="Arial"/>
          <w:szCs w:val="22"/>
          <w:lang w:val="en-GB"/>
        </w:rPr>
        <w:t>We would like to thank you for your thorough review of our manuscript with valuable comments. Please find below a point-to-point reply to the reviewers’ comments. In addition to these we have created a minimal dataset which we have added as Supporting information.</w:t>
      </w:r>
    </w:p>
    <w:p w14:paraId="407513C6" w14:textId="77777777" w:rsidR="00490BEC" w:rsidRPr="00490BEC" w:rsidRDefault="00490BEC" w:rsidP="00490BEC">
      <w:pPr>
        <w:rPr>
          <w:rFonts w:cs="Arial"/>
          <w:szCs w:val="22"/>
          <w:lang w:val="en-GB"/>
        </w:rPr>
      </w:pPr>
    </w:p>
    <w:p w14:paraId="66847529" w14:textId="77777777" w:rsidR="00490BEC" w:rsidRPr="00490BEC" w:rsidRDefault="00490BEC" w:rsidP="00490BEC">
      <w:pPr>
        <w:outlineLvl w:val="0"/>
        <w:rPr>
          <w:rFonts w:cs="Arial"/>
          <w:szCs w:val="22"/>
          <w:lang w:val="en-GB"/>
        </w:rPr>
      </w:pPr>
      <w:r w:rsidRPr="00490BEC">
        <w:rPr>
          <w:rFonts w:cs="Arial"/>
          <w:szCs w:val="22"/>
          <w:lang w:val="en-GB"/>
        </w:rPr>
        <w:t>On behalf of all authors,</w:t>
      </w:r>
    </w:p>
    <w:p w14:paraId="028F84C2" w14:textId="77777777" w:rsidR="00490BEC" w:rsidRPr="00490BEC" w:rsidRDefault="00490BEC" w:rsidP="00490BEC">
      <w:pPr>
        <w:rPr>
          <w:rFonts w:cs="Arial"/>
          <w:szCs w:val="22"/>
          <w:lang w:val="en-GB"/>
        </w:rPr>
      </w:pPr>
    </w:p>
    <w:p w14:paraId="56E4B84E" w14:textId="77777777" w:rsidR="00490BEC" w:rsidRPr="00490BEC" w:rsidRDefault="00490BEC" w:rsidP="00490BEC">
      <w:pPr>
        <w:rPr>
          <w:rFonts w:cs="Arial"/>
          <w:szCs w:val="22"/>
          <w:lang w:val="en-GB"/>
        </w:rPr>
      </w:pPr>
    </w:p>
    <w:p w14:paraId="1F7F5A2A" w14:textId="77777777" w:rsidR="00490BEC" w:rsidRPr="00490BEC" w:rsidRDefault="00490BEC" w:rsidP="00490BEC">
      <w:pPr>
        <w:rPr>
          <w:rFonts w:cs="Arial"/>
          <w:szCs w:val="22"/>
          <w:lang w:val="en-GB"/>
        </w:rPr>
      </w:pPr>
      <w:r w:rsidRPr="00490BEC">
        <w:rPr>
          <w:rFonts w:cs="Arial"/>
          <w:szCs w:val="22"/>
          <w:lang w:val="en-GB"/>
        </w:rPr>
        <w:t>Yours Sincerely,</w:t>
      </w:r>
    </w:p>
    <w:p w14:paraId="28EB1134" w14:textId="77777777" w:rsidR="00490BEC" w:rsidRDefault="00490BEC" w:rsidP="00490BEC">
      <w:pPr>
        <w:rPr>
          <w:rFonts w:cs="Arial"/>
          <w:szCs w:val="22"/>
          <w:lang w:val="en-GB"/>
        </w:rPr>
      </w:pPr>
    </w:p>
    <w:p w14:paraId="5CFFC54A" w14:textId="77777777" w:rsidR="00490BEC" w:rsidRPr="00490BEC" w:rsidRDefault="00490BEC" w:rsidP="00490BEC">
      <w:pPr>
        <w:rPr>
          <w:rFonts w:cs="Arial"/>
          <w:szCs w:val="22"/>
          <w:lang w:val="en-GB"/>
        </w:rPr>
      </w:pPr>
    </w:p>
    <w:p w14:paraId="37A1EF87" w14:textId="77777777" w:rsidR="00673B25" w:rsidRDefault="00673B25" w:rsidP="00490BEC">
      <w:pPr>
        <w:rPr>
          <w:rFonts w:cs="Arial"/>
          <w:szCs w:val="22"/>
          <w:lang w:val="en-GB"/>
        </w:rPr>
      </w:pPr>
      <w:r>
        <w:rPr>
          <w:rFonts w:cs="Arial"/>
          <w:szCs w:val="22"/>
          <w:lang w:val="en-GB"/>
        </w:rPr>
        <w:t>Dr.Massimiliano di Pietro</w:t>
      </w:r>
    </w:p>
    <w:p w14:paraId="4D7D2185" w14:textId="77777777" w:rsidR="00673B25" w:rsidRDefault="00673B25" w:rsidP="00490BEC">
      <w:pPr>
        <w:rPr>
          <w:rFonts w:cs="Arial"/>
          <w:szCs w:val="22"/>
          <w:lang w:val="en-GB"/>
        </w:rPr>
      </w:pPr>
      <w:r>
        <w:rPr>
          <w:rFonts w:cs="Arial"/>
          <w:szCs w:val="22"/>
          <w:lang w:val="en-GB"/>
        </w:rPr>
        <w:t>Senior clinician Scientist</w:t>
      </w:r>
    </w:p>
    <w:p w14:paraId="2CE839EB" w14:textId="77777777" w:rsidR="00673B25" w:rsidRDefault="00673B25" w:rsidP="00490BEC">
      <w:pPr>
        <w:rPr>
          <w:rFonts w:cs="Arial"/>
          <w:szCs w:val="22"/>
          <w:lang w:val="en-GB"/>
        </w:rPr>
      </w:pPr>
      <w:r>
        <w:rPr>
          <w:rFonts w:cs="Arial"/>
          <w:szCs w:val="22"/>
          <w:lang w:val="en-GB"/>
        </w:rPr>
        <w:t>Honorary Gastroenterologist</w:t>
      </w:r>
    </w:p>
    <w:p w14:paraId="45C09C3C" w14:textId="77777777" w:rsidR="00673B25" w:rsidRDefault="00673B25" w:rsidP="00490BEC">
      <w:pPr>
        <w:rPr>
          <w:rFonts w:cs="Arial"/>
          <w:szCs w:val="22"/>
          <w:lang w:val="en-GB"/>
        </w:rPr>
      </w:pPr>
      <w:r>
        <w:rPr>
          <w:rFonts w:cs="Arial"/>
          <w:szCs w:val="22"/>
          <w:lang w:val="en-GB"/>
        </w:rPr>
        <w:t>Early Cancer Insititute, Cambridge</w:t>
      </w:r>
    </w:p>
    <w:p w14:paraId="09598137" w14:textId="77777777" w:rsidR="00673B25" w:rsidRDefault="00673B25" w:rsidP="00490BEC">
      <w:pPr>
        <w:rPr>
          <w:rFonts w:cs="Arial"/>
          <w:szCs w:val="22"/>
          <w:lang w:val="en-GB"/>
        </w:rPr>
      </w:pPr>
      <w:r>
        <w:rPr>
          <w:rFonts w:cs="Arial"/>
          <w:szCs w:val="22"/>
          <w:lang w:val="en-GB"/>
        </w:rPr>
        <w:t>University of Cambridge, UK</w:t>
      </w:r>
    </w:p>
    <w:p w14:paraId="35AD4B14" w14:textId="77777777" w:rsidR="00673B25" w:rsidRDefault="00673B25" w:rsidP="00490BEC">
      <w:pPr>
        <w:rPr>
          <w:rFonts w:cs="Arial"/>
          <w:szCs w:val="22"/>
          <w:lang w:val="en-GB"/>
        </w:rPr>
      </w:pPr>
    </w:p>
    <w:p w14:paraId="5425FE7A" w14:textId="77777777" w:rsidR="00673B25" w:rsidRDefault="00673B25" w:rsidP="00490BEC">
      <w:pPr>
        <w:rPr>
          <w:rFonts w:cs="Arial"/>
          <w:szCs w:val="22"/>
          <w:lang w:val="en-GB"/>
        </w:rPr>
      </w:pPr>
      <w:r>
        <w:rPr>
          <w:rFonts w:cs="Arial"/>
          <w:szCs w:val="22"/>
          <w:lang w:val="en-GB"/>
        </w:rPr>
        <w:t>Dr.Judith Honing</w:t>
      </w:r>
    </w:p>
    <w:p w14:paraId="6521218B" w14:textId="77777777" w:rsidR="00673B25" w:rsidRDefault="00673B25" w:rsidP="00490BEC">
      <w:pPr>
        <w:rPr>
          <w:rFonts w:cs="Arial"/>
          <w:szCs w:val="22"/>
          <w:lang w:val="en-GB"/>
        </w:rPr>
      </w:pPr>
      <w:r>
        <w:rPr>
          <w:rFonts w:cs="Arial"/>
          <w:szCs w:val="22"/>
          <w:lang w:val="en-GB"/>
        </w:rPr>
        <w:t>Clinical Research Fellow</w:t>
      </w:r>
    </w:p>
    <w:p w14:paraId="73727DED" w14:textId="77777777" w:rsidR="00673B25" w:rsidRDefault="00673B25" w:rsidP="00490BEC">
      <w:pPr>
        <w:rPr>
          <w:rFonts w:cs="Arial"/>
          <w:szCs w:val="22"/>
          <w:lang w:val="en-GB"/>
        </w:rPr>
      </w:pPr>
      <w:r>
        <w:rPr>
          <w:rFonts w:cs="Arial"/>
          <w:szCs w:val="22"/>
          <w:lang w:val="en-GB"/>
        </w:rPr>
        <w:t>Early Cancer Institute, Cambridge</w:t>
      </w:r>
    </w:p>
    <w:p w14:paraId="38BBDE7A" w14:textId="2271AE83" w:rsidR="00B200BB" w:rsidRDefault="00673B25" w:rsidP="00490BEC">
      <w:pPr>
        <w:rPr>
          <w:rFonts w:cs="Arial"/>
          <w:szCs w:val="22"/>
          <w:lang w:val="en-GB"/>
        </w:rPr>
      </w:pPr>
      <w:r>
        <w:rPr>
          <w:rFonts w:cs="Arial"/>
          <w:szCs w:val="22"/>
          <w:lang w:val="en-GB"/>
        </w:rPr>
        <w:t>University of Cambridge, UK</w:t>
      </w:r>
      <w:r w:rsidR="00B200BB">
        <w:rPr>
          <w:rFonts w:cs="Arial"/>
          <w:szCs w:val="22"/>
          <w:lang w:val="en-GB"/>
        </w:rPr>
        <w:tab/>
      </w:r>
      <w:r w:rsidR="00B200BB">
        <w:rPr>
          <w:rFonts w:cs="Arial"/>
          <w:szCs w:val="22"/>
          <w:lang w:val="en-GB"/>
        </w:rPr>
        <w:tab/>
      </w:r>
      <w:r w:rsidR="00B200BB">
        <w:rPr>
          <w:rFonts w:cs="Arial"/>
          <w:szCs w:val="22"/>
          <w:lang w:val="en-GB"/>
        </w:rPr>
        <w:tab/>
      </w:r>
      <w:r w:rsidR="00B200BB">
        <w:rPr>
          <w:rFonts w:cs="Arial"/>
          <w:szCs w:val="22"/>
          <w:lang w:val="en-GB"/>
        </w:rPr>
        <w:tab/>
      </w:r>
      <w:r w:rsidR="00B200BB">
        <w:rPr>
          <w:rFonts w:cs="Arial"/>
          <w:szCs w:val="22"/>
          <w:lang w:val="en-GB"/>
        </w:rPr>
        <w:tab/>
      </w:r>
    </w:p>
    <w:p w14:paraId="45E8E555" w14:textId="77777777" w:rsidR="00490BEC" w:rsidRDefault="00490BEC" w:rsidP="00490BEC">
      <w:pPr>
        <w:rPr>
          <w:rFonts w:cs="Arial"/>
          <w:szCs w:val="22"/>
          <w:lang w:val="en-GB"/>
        </w:rPr>
      </w:pPr>
    </w:p>
    <w:p w14:paraId="6EBEB9DC" w14:textId="77777777" w:rsidR="00490BEC" w:rsidRDefault="00490BEC" w:rsidP="00490BEC">
      <w:pPr>
        <w:rPr>
          <w:rFonts w:cs="Arial"/>
          <w:szCs w:val="22"/>
          <w:lang w:val="en-GB"/>
        </w:rPr>
      </w:pPr>
    </w:p>
    <w:p w14:paraId="25ED1D17" w14:textId="23DB7924" w:rsidR="00490BEC" w:rsidRDefault="00490BEC" w:rsidP="00490BEC">
      <w:pPr>
        <w:rPr>
          <w:rFonts w:cs="Arial"/>
          <w:szCs w:val="22"/>
          <w:lang w:val="en-GB"/>
        </w:rPr>
      </w:pPr>
    </w:p>
    <w:p w14:paraId="35C32D06" w14:textId="7F6E8573" w:rsidR="0075497A" w:rsidRDefault="0075497A" w:rsidP="00490BEC">
      <w:pPr>
        <w:rPr>
          <w:rFonts w:cs="Arial"/>
          <w:szCs w:val="22"/>
          <w:lang w:val="en-GB"/>
        </w:rPr>
      </w:pPr>
      <w:r>
        <w:rPr>
          <w:rFonts w:cs="Arial"/>
          <w:szCs w:val="22"/>
          <w:lang w:val="en-GB"/>
        </w:rPr>
        <w:t>Point to point reply</w:t>
      </w:r>
    </w:p>
    <w:p w14:paraId="53CA6336" w14:textId="0967F591" w:rsidR="00207E27" w:rsidRDefault="00207E27" w:rsidP="00207E27">
      <w:pPr>
        <w:pStyle w:val="NormalWeb"/>
      </w:pPr>
      <w:r>
        <w:br/>
        <w:t>In retrieving the considered patients, the authors regarded the definitions of atrophic gastritis and intestinal metaplasia as equivalent. The two conditions are not biologically nor clinically the same, being IM one of the histological phenotypes included in the Atrophy definition.</w:t>
      </w:r>
    </w:p>
    <w:p w14:paraId="0C7E7FC2" w14:textId="3A61C77E" w:rsidR="00207E27" w:rsidRDefault="00207E27" w:rsidP="00207E27">
      <w:pPr>
        <w:pStyle w:val="NormalWeb"/>
      </w:pPr>
      <w:r>
        <w:t>&gt;</w:t>
      </w:r>
      <w:r w:rsidR="00FA18B1">
        <w:t xml:space="preserve"> </w:t>
      </w:r>
      <w:r w:rsidR="00FA18B1" w:rsidRPr="00FA18B1">
        <w:rPr>
          <w:color w:val="70AD47" w:themeColor="accent6"/>
        </w:rPr>
        <w:t xml:space="preserve">Thank you for pointing out that we gave the impression in our paper that these are the same. Although part of a spectrum we definitely agree these should be regarded as different entities. </w:t>
      </w:r>
      <w:r w:rsidR="00B90E48">
        <w:rPr>
          <w:color w:val="70AD47" w:themeColor="accent6"/>
        </w:rPr>
        <w:t xml:space="preserve">We have added in the introduction </w:t>
      </w:r>
      <w:r w:rsidR="00456A26">
        <w:rPr>
          <w:color w:val="70AD47" w:themeColor="accent6"/>
        </w:rPr>
        <w:t>a sentence t</w:t>
      </w:r>
      <w:r w:rsidR="003863BB">
        <w:rPr>
          <w:color w:val="70AD47" w:themeColor="accent6"/>
        </w:rPr>
        <w:t>o refer to the Corre</w:t>
      </w:r>
      <w:r w:rsidR="00456A26">
        <w:rPr>
          <w:color w:val="70AD47" w:themeColor="accent6"/>
        </w:rPr>
        <w:t xml:space="preserve">a cascade (page 5, line </w:t>
      </w:r>
      <w:r w:rsidR="00375F09">
        <w:rPr>
          <w:color w:val="70AD47" w:themeColor="accent6"/>
        </w:rPr>
        <w:t>7-</w:t>
      </w:r>
      <w:r w:rsidR="00456A26">
        <w:rPr>
          <w:color w:val="70AD47" w:themeColor="accent6"/>
        </w:rPr>
        <w:t>11</w:t>
      </w:r>
      <w:bookmarkStart w:id="8" w:name="_GoBack"/>
      <w:bookmarkEnd w:id="8"/>
      <w:r w:rsidR="00456A26">
        <w:rPr>
          <w:color w:val="70AD47" w:themeColor="accent6"/>
        </w:rPr>
        <w:t>). In</w:t>
      </w:r>
      <w:r w:rsidR="003863BB">
        <w:rPr>
          <w:color w:val="70AD47" w:themeColor="accent6"/>
        </w:rPr>
        <w:t xml:space="preserve"> addition, w</w:t>
      </w:r>
      <w:r w:rsidR="00FA18B1" w:rsidRPr="00FA18B1">
        <w:rPr>
          <w:color w:val="70AD47" w:themeColor="accent6"/>
        </w:rPr>
        <w:t xml:space="preserve">e have made textual changes in the manuscript to clarify that we do regard them as different conditions, eg instead of GA/GIM we refer to them as GA and/or GIM. </w:t>
      </w:r>
      <w:r w:rsidRPr="00FA18B1">
        <w:rPr>
          <w:color w:val="70AD47" w:themeColor="accent6"/>
        </w:rPr>
        <w:br/>
      </w:r>
      <w:r>
        <w:br/>
        <w:t>The reliability of endoscopy in atrophy detection is considered lower than that of IM (particularly by adopting high-resolution instruments). It is frankly unexpected the higher value of consistency in endoscopic detection of atrophy versus IM (48.5 % for GA versus 16.3 % for IM). This impressive result should be carefully considered and confirmed.</w:t>
      </w:r>
    </w:p>
    <w:p w14:paraId="2BF39ECD" w14:textId="5D3297B2" w:rsidR="00AC6D93" w:rsidRPr="00FA18B1" w:rsidRDefault="00207E27" w:rsidP="00AC6D93">
      <w:pPr>
        <w:pStyle w:val="NormalWeb"/>
        <w:rPr>
          <w:color w:val="70AD47" w:themeColor="accent6"/>
        </w:rPr>
      </w:pPr>
      <w:r>
        <w:t>&gt;</w:t>
      </w:r>
      <w:r w:rsidR="00FA18B1">
        <w:t xml:space="preserve"> </w:t>
      </w:r>
      <w:r w:rsidR="00FA18B1" w:rsidRPr="00FA18B1">
        <w:rPr>
          <w:color w:val="70AD47" w:themeColor="accent6"/>
        </w:rPr>
        <w:t>We</w:t>
      </w:r>
      <w:r w:rsidR="00545D35">
        <w:rPr>
          <w:color w:val="70AD47" w:themeColor="accent6"/>
        </w:rPr>
        <w:t xml:space="preserve"> agree with the reviewer that</w:t>
      </w:r>
      <w:r w:rsidR="00FA18B1" w:rsidRPr="00FA18B1">
        <w:rPr>
          <w:color w:val="70AD47" w:themeColor="accent6"/>
        </w:rPr>
        <w:t xml:space="preserve"> with the current imaging-enhancing techniques one would not expect the IM rate to be much low</w:t>
      </w:r>
      <w:r w:rsidR="00545D35">
        <w:rPr>
          <w:color w:val="70AD47" w:themeColor="accent6"/>
        </w:rPr>
        <w:t>er than the GA rate. However after</w:t>
      </w:r>
      <w:r w:rsidR="00FA18B1" w:rsidRPr="00FA18B1">
        <w:rPr>
          <w:color w:val="70AD47" w:themeColor="accent6"/>
        </w:rPr>
        <w:t xml:space="preserve"> reviewing all the endoscopy report</w:t>
      </w:r>
      <w:r w:rsidR="00545D35">
        <w:rPr>
          <w:color w:val="70AD47" w:themeColor="accent6"/>
        </w:rPr>
        <w:t>s</w:t>
      </w:r>
      <w:r w:rsidR="00FA18B1" w:rsidRPr="00FA18B1">
        <w:rPr>
          <w:color w:val="70AD47" w:themeColor="accent6"/>
        </w:rPr>
        <w:t xml:space="preserve"> it does seem to be the ca</w:t>
      </w:r>
      <w:r w:rsidR="00545D35">
        <w:rPr>
          <w:color w:val="70AD47" w:themeColor="accent6"/>
        </w:rPr>
        <w:t xml:space="preserve">se that features of GA </w:t>
      </w:r>
      <w:r w:rsidR="00C417B9">
        <w:rPr>
          <w:color w:val="70AD47" w:themeColor="accent6"/>
        </w:rPr>
        <w:t xml:space="preserve">have </w:t>
      </w:r>
      <w:r w:rsidR="00FA18B1" w:rsidRPr="00FA18B1">
        <w:rPr>
          <w:color w:val="70AD47" w:themeColor="accent6"/>
        </w:rPr>
        <w:t xml:space="preserve">easier </w:t>
      </w:r>
      <w:r w:rsidR="00021BB4">
        <w:rPr>
          <w:color w:val="70AD47" w:themeColor="accent6"/>
        </w:rPr>
        <w:t xml:space="preserve">to be </w:t>
      </w:r>
      <w:r w:rsidR="00FA18B1" w:rsidRPr="00FA18B1">
        <w:rPr>
          <w:color w:val="70AD47" w:themeColor="accent6"/>
        </w:rPr>
        <w:t xml:space="preserve">recognized than GIM features. We suspect this is due to the fact that loss of rugal folds and an atrophic border can be seen with white light, while IM can appear </w:t>
      </w:r>
      <w:r w:rsidR="00545D35">
        <w:rPr>
          <w:color w:val="70AD47" w:themeColor="accent6"/>
        </w:rPr>
        <w:t>as gastritis</w:t>
      </w:r>
      <w:r w:rsidR="00FA18B1" w:rsidRPr="00FA18B1">
        <w:rPr>
          <w:color w:val="70AD47" w:themeColor="accent6"/>
        </w:rPr>
        <w:t xml:space="preserve"> on white light. In fact, in many of the reports gastritis was mentioned as the reason to biopsy. This </w:t>
      </w:r>
      <w:r w:rsidR="00881492">
        <w:rPr>
          <w:color w:val="70AD47" w:themeColor="accent6"/>
        </w:rPr>
        <w:t xml:space="preserve">suggests that in clinical practice </w:t>
      </w:r>
      <w:r w:rsidR="00FA18B1" w:rsidRPr="00FA18B1">
        <w:rPr>
          <w:color w:val="70AD47" w:themeColor="accent6"/>
        </w:rPr>
        <w:t xml:space="preserve">the endoscopist does </w:t>
      </w:r>
      <w:r w:rsidR="00545D35">
        <w:rPr>
          <w:color w:val="70AD47" w:themeColor="accent6"/>
        </w:rPr>
        <w:t xml:space="preserve">not recognize </w:t>
      </w:r>
      <w:r w:rsidR="00A02D2C">
        <w:rPr>
          <w:color w:val="70AD47" w:themeColor="accent6"/>
        </w:rPr>
        <w:t>G</w:t>
      </w:r>
      <w:r w:rsidR="00545D35">
        <w:rPr>
          <w:color w:val="70AD47" w:themeColor="accent6"/>
        </w:rPr>
        <w:t xml:space="preserve">IM and confuses </w:t>
      </w:r>
      <w:r w:rsidR="00A02D2C">
        <w:rPr>
          <w:color w:val="70AD47" w:themeColor="accent6"/>
        </w:rPr>
        <w:t>G</w:t>
      </w:r>
      <w:r w:rsidR="00545D35">
        <w:rPr>
          <w:color w:val="70AD47" w:themeColor="accent6"/>
        </w:rPr>
        <w:t>IM</w:t>
      </w:r>
      <w:r w:rsidR="00FA18B1" w:rsidRPr="00FA18B1">
        <w:rPr>
          <w:color w:val="70AD47" w:themeColor="accent6"/>
        </w:rPr>
        <w:t xml:space="preserve"> for an inflammatory gastritis. Using NBI to distinguish the two from each other would be </w:t>
      </w:r>
      <w:r w:rsidR="00545D35">
        <w:rPr>
          <w:color w:val="70AD47" w:themeColor="accent6"/>
        </w:rPr>
        <w:t>beneficial</w:t>
      </w:r>
      <w:r w:rsidR="00FA18B1" w:rsidRPr="00FA18B1">
        <w:rPr>
          <w:color w:val="70AD47" w:themeColor="accent6"/>
        </w:rPr>
        <w:t xml:space="preserve"> but is often not done due to time constraints and </w:t>
      </w:r>
      <w:r w:rsidR="00E963CD">
        <w:rPr>
          <w:color w:val="70AD47" w:themeColor="accent6"/>
        </w:rPr>
        <w:t>lack of training</w:t>
      </w:r>
      <w:r w:rsidR="00FA18B1" w:rsidRPr="00FA18B1">
        <w:rPr>
          <w:color w:val="70AD47" w:themeColor="accent6"/>
        </w:rPr>
        <w:t xml:space="preserve">. </w:t>
      </w:r>
      <w:r w:rsidR="00AC6D93" w:rsidRPr="00FA18B1">
        <w:rPr>
          <w:color w:val="70AD47" w:themeColor="accent6"/>
        </w:rPr>
        <w:t xml:space="preserve">We suspect </w:t>
      </w:r>
      <w:r w:rsidR="002E52AF">
        <w:rPr>
          <w:color w:val="70AD47" w:themeColor="accent6"/>
        </w:rPr>
        <w:t xml:space="preserve">endoscopists, </w:t>
      </w:r>
      <w:r w:rsidR="00AC6D93" w:rsidRPr="00FA18B1">
        <w:rPr>
          <w:color w:val="70AD47" w:themeColor="accent6"/>
        </w:rPr>
        <w:t xml:space="preserve">when recognizing GA, don’t proceed to the next step of looking for IM and lesions, regarding this as a disease of the whole stomach. </w:t>
      </w:r>
    </w:p>
    <w:p w14:paraId="745A993C" w14:textId="3B16B21E" w:rsidR="00AC6D93" w:rsidRDefault="00AC6D93" w:rsidP="00AC6D93">
      <w:pPr>
        <w:pStyle w:val="NormalWeb"/>
        <w:rPr>
          <w:color w:val="70AD47" w:themeColor="accent6"/>
        </w:rPr>
      </w:pPr>
      <w:r>
        <w:rPr>
          <w:color w:val="70AD47" w:themeColor="accent6"/>
        </w:rPr>
        <w:t xml:space="preserve">The higher GA recognition rate includes </w:t>
      </w:r>
      <w:r w:rsidR="006330F5">
        <w:rPr>
          <w:color w:val="70AD47" w:themeColor="accent6"/>
        </w:rPr>
        <w:t xml:space="preserve">both </w:t>
      </w:r>
      <w:r w:rsidR="00BD05F2">
        <w:rPr>
          <w:color w:val="70AD47" w:themeColor="accent6"/>
        </w:rPr>
        <w:t xml:space="preserve">GA </w:t>
      </w:r>
      <w:r>
        <w:rPr>
          <w:color w:val="70AD47" w:themeColor="accent6"/>
        </w:rPr>
        <w:t xml:space="preserve">cases with </w:t>
      </w:r>
      <w:r w:rsidR="00BD05F2">
        <w:rPr>
          <w:color w:val="70AD47" w:themeColor="accent6"/>
        </w:rPr>
        <w:t xml:space="preserve">and without </w:t>
      </w:r>
      <w:r w:rsidR="00A02D2C">
        <w:rPr>
          <w:color w:val="70AD47" w:themeColor="accent6"/>
        </w:rPr>
        <w:t>G</w:t>
      </w:r>
      <w:r>
        <w:rPr>
          <w:color w:val="70AD47" w:themeColor="accent6"/>
        </w:rPr>
        <w:t xml:space="preserve">IM, however </w:t>
      </w:r>
      <w:r w:rsidR="00FA18B1" w:rsidRPr="00FA18B1">
        <w:rPr>
          <w:color w:val="70AD47" w:themeColor="accent6"/>
        </w:rPr>
        <w:t xml:space="preserve"> it should be noted </w:t>
      </w:r>
      <w:r w:rsidR="00BD05F2">
        <w:rPr>
          <w:color w:val="70AD47" w:themeColor="accent6"/>
        </w:rPr>
        <w:t xml:space="preserve">in cases with </w:t>
      </w:r>
      <w:r w:rsidR="00A02D2C">
        <w:rPr>
          <w:color w:val="70AD47" w:themeColor="accent6"/>
        </w:rPr>
        <w:t>G</w:t>
      </w:r>
      <w:r w:rsidR="00BD05F2">
        <w:rPr>
          <w:color w:val="70AD47" w:themeColor="accent6"/>
        </w:rPr>
        <w:t xml:space="preserve">IM </w:t>
      </w:r>
      <w:r w:rsidR="00FA18B1" w:rsidRPr="00FA18B1">
        <w:rPr>
          <w:color w:val="70AD47" w:themeColor="accent6"/>
        </w:rPr>
        <w:t>endoscopist</w:t>
      </w:r>
      <w:r w:rsidR="00BD05F2">
        <w:rPr>
          <w:color w:val="70AD47" w:themeColor="accent6"/>
        </w:rPr>
        <w:t>s</w:t>
      </w:r>
      <w:r w:rsidR="00FA18B1" w:rsidRPr="00FA18B1">
        <w:rPr>
          <w:color w:val="70AD47" w:themeColor="accent6"/>
        </w:rPr>
        <w:t xml:space="preserve"> still did not recognize the IM.</w:t>
      </w:r>
      <w:r>
        <w:rPr>
          <w:color w:val="70AD47" w:themeColor="accent6"/>
        </w:rPr>
        <w:t xml:space="preserve"> We have </w:t>
      </w:r>
      <w:r w:rsidR="004C07B5">
        <w:rPr>
          <w:color w:val="70AD47" w:themeColor="accent6"/>
        </w:rPr>
        <w:t xml:space="preserve">now </w:t>
      </w:r>
      <w:r>
        <w:rPr>
          <w:color w:val="70AD47" w:themeColor="accent6"/>
        </w:rPr>
        <w:t>clarified this</w:t>
      </w:r>
      <w:r w:rsidR="004C07B5">
        <w:rPr>
          <w:color w:val="70AD47" w:themeColor="accent6"/>
        </w:rPr>
        <w:t xml:space="preserve"> in </w:t>
      </w:r>
      <w:r w:rsidR="000F396D">
        <w:rPr>
          <w:color w:val="70AD47" w:themeColor="accent6"/>
        </w:rPr>
        <w:t>Methods/Definition (</w:t>
      </w:r>
      <w:r w:rsidR="003E55D9">
        <w:rPr>
          <w:color w:val="70AD47" w:themeColor="accent6"/>
        </w:rPr>
        <w:t xml:space="preserve">Page </w:t>
      </w:r>
      <w:r w:rsidR="00852184">
        <w:rPr>
          <w:color w:val="70AD47" w:themeColor="accent6"/>
        </w:rPr>
        <w:t>8</w:t>
      </w:r>
      <w:r w:rsidR="003E55D9">
        <w:rPr>
          <w:color w:val="70AD47" w:themeColor="accent6"/>
        </w:rPr>
        <w:t xml:space="preserve">, line 4-7) and in </w:t>
      </w:r>
      <w:r w:rsidR="004C07B5">
        <w:rPr>
          <w:color w:val="70AD47" w:themeColor="accent6"/>
        </w:rPr>
        <w:t>the Figure 1 legend</w:t>
      </w:r>
      <w:r>
        <w:rPr>
          <w:color w:val="70AD47" w:themeColor="accent6"/>
        </w:rPr>
        <w:t>. In addition</w:t>
      </w:r>
      <w:r w:rsidR="00852184">
        <w:rPr>
          <w:color w:val="70AD47" w:themeColor="accent6"/>
        </w:rPr>
        <w:t>,</w:t>
      </w:r>
      <w:r>
        <w:rPr>
          <w:color w:val="70AD47" w:themeColor="accent6"/>
        </w:rPr>
        <w:t xml:space="preserve"> we ha</w:t>
      </w:r>
      <w:r w:rsidR="00746841">
        <w:rPr>
          <w:color w:val="70AD47" w:themeColor="accent6"/>
        </w:rPr>
        <w:t>ve added a supplementary table 1</w:t>
      </w:r>
      <w:r>
        <w:rPr>
          <w:color w:val="70AD47" w:themeColor="accent6"/>
        </w:rPr>
        <w:t xml:space="preserve"> which shows these numbers in </w:t>
      </w:r>
      <w:r w:rsidR="004C07B5">
        <w:rPr>
          <w:color w:val="70AD47" w:themeColor="accent6"/>
        </w:rPr>
        <w:t xml:space="preserve">more </w:t>
      </w:r>
      <w:r>
        <w:rPr>
          <w:color w:val="70AD47" w:themeColor="accent6"/>
        </w:rPr>
        <w:t xml:space="preserve">detail </w:t>
      </w:r>
      <w:r w:rsidR="004C07B5">
        <w:rPr>
          <w:color w:val="70AD47" w:themeColor="accent6"/>
        </w:rPr>
        <w:t>with the breakdown of individual endoscopic diagnoses</w:t>
      </w:r>
      <w:r>
        <w:rPr>
          <w:color w:val="70AD47" w:themeColor="accent6"/>
        </w:rPr>
        <w:t>.</w:t>
      </w:r>
      <w:r w:rsidRPr="00AC6D93">
        <w:rPr>
          <w:color w:val="70AD47" w:themeColor="accent6"/>
        </w:rPr>
        <w:t xml:space="preserve"> </w:t>
      </w:r>
      <w:r w:rsidR="00A348EF">
        <w:rPr>
          <w:color w:val="70AD47" w:themeColor="accent6"/>
        </w:rPr>
        <w:t xml:space="preserve">In particular we show that cases in cases with any histopathological </w:t>
      </w:r>
      <w:r w:rsidR="005D66B2">
        <w:rPr>
          <w:color w:val="70AD47" w:themeColor="accent6"/>
        </w:rPr>
        <w:t xml:space="preserve">pre-malignant </w:t>
      </w:r>
      <w:r w:rsidR="00A348EF">
        <w:rPr>
          <w:color w:val="70AD47" w:themeColor="accent6"/>
        </w:rPr>
        <w:t>diagnosis</w:t>
      </w:r>
      <w:r w:rsidR="005D66B2">
        <w:rPr>
          <w:color w:val="70AD47" w:themeColor="accent6"/>
        </w:rPr>
        <w:t xml:space="preserve"> (GA and/or GIM) the rate of endoscopic diagnosis</w:t>
      </w:r>
      <w:r w:rsidR="007D4414">
        <w:rPr>
          <w:color w:val="70AD47" w:themeColor="accent6"/>
        </w:rPr>
        <w:t xml:space="preserve"> of an atrophic or metaplastic process was 42.2%. </w:t>
      </w:r>
      <w:r w:rsidR="00506885">
        <w:rPr>
          <w:color w:val="70AD47" w:themeColor="accent6"/>
        </w:rPr>
        <w:t xml:space="preserve">We have added a sentence in the results section at page 12, line 11-12. </w:t>
      </w:r>
    </w:p>
    <w:p w14:paraId="2107ABA0" w14:textId="7F53F7F1" w:rsidR="00AC6D93" w:rsidRPr="00FA18B1" w:rsidRDefault="00164FDF" w:rsidP="00AC6D93">
      <w:pPr>
        <w:pStyle w:val="NormalWeb"/>
        <w:rPr>
          <w:color w:val="70AD47" w:themeColor="accent6"/>
        </w:rPr>
      </w:pPr>
      <w:r>
        <w:rPr>
          <w:color w:val="70AD47" w:themeColor="accent6"/>
        </w:rPr>
        <w:lastRenderedPageBreak/>
        <w:t xml:space="preserve">Finally the </w:t>
      </w:r>
      <w:r w:rsidR="006B5A8B">
        <w:rPr>
          <w:color w:val="70AD47" w:themeColor="accent6"/>
        </w:rPr>
        <w:t>relevance and implication of this findings has been discussed in details at (</w:t>
      </w:r>
      <w:r w:rsidR="00456A26">
        <w:rPr>
          <w:color w:val="70AD47" w:themeColor="accent6"/>
        </w:rPr>
        <w:t>page 1</w:t>
      </w:r>
      <w:r w:rsidR="006B5A8B">
        <w:rPr>
          <w:color w:val="70AD47" w:themeColor="accent6"/>
        </w:rPr>
        <w:t>6</w:t>
      </w:r>
      <w:r w:rsidR="00456A26">
        <w:rPr>
          <w:color w:val="70AD47" w:themeColor="accent6"/>
        </w:rPr>
        <w:t>, 1-9)</w:t>
      </w:r>
      <w:r w:rsidR="00AC6D93" w:rsidRPr="00FA18B1">
        <w:rPr>
          <w:color w:val="70AD47" w:themeColor="accent6"/>
        </w:rPr>
        <w:t>.</w:t>
      </w:r>
    </w:p>
    <w:p w14:paraId="0F47A55B" w14:textId="7F08C305" w:rsidR="00207E27" w:rsidRDefault="00207E27" w:rsidP="00207E27">
      <w:pPr>
        <w:pStyle w:val="NormalWeb"/>
      </w:pPr>
      <w:r>
        <w:t>The definition of pangastritis includes heterogeneous clinical and histological situations. According to the Sydney system, the current (ambiguous) definitions of pangastritis includes different conditions associated with different GC risk:</w:t>
      </w:r>
      <w:r>
        <w:br/>
        <w:t>(a) sparse foci of atrophy involving the mucous-secreting antrum and the oxyntic compartment;</w:t>
      </w:r>
      <w:r>
        <w:br/>
        <w:t>(b) extensive atrophic lesions involving both the antrum and body (i.e., Open Type gastritis according to Kimura and Takemoto).</w:t>
      </w:r>
    </w:p>
    <w:p w14:paraId="057FF8F2" w14:textId="471A4D68" w:rsidR="00207E27" w:rsidRDefault="00207E27" w:rsidP="00207E27">
      <w:pPr>
        <w:pStyle w:val="NormalWeb"/>
      </w:pPr>
      <w:r>
        <w:t>I agree entirely with the author's choice of assuming histology as a reference standard in atrophy assessment. Histology reliability - however - is strongly conditioned by the biopsy sampling protocol. No information about this crucial issue is reported.</w:t>
      </w:r>
      <w:r>
        <w:br/>
      </w:r>
    </w:p>
    <w:p w14:paraId="3921A425" w14:textId="1252814B" w:rsidR="00545D35" w:rsidRDefault="009B0A18" w:rsidP="00324191">
      <w:pPr>
        <w:pStyle w:val="NormalWeb"/>
        <w:numPr>
          <w:ilvl w:val="0"/>
          <w:numId w:val="2"/>
        </w:numPr>
      </w:pPr>
      <w:r w:rsidRPr="00545D35">
        <w:rPr>
          <w:color w:val="70AD47" w:themeColor="accent6"/>
        </w:rPr>
        <w:t xml:space="preserve">We strongly agree with the reviewer that adequate sampling is crucial to determine the disease extent. The </w:t>
      </w:r>
      <w:r w:rsidR="00CA24BA">
        <w:rPr>
          <w:color w:val="70AD47" w:themeColor="accent6"/>
        </w:rPr>
        <w:t xml:space="preserve">breakdown </w:t>
      </w:r>
      <w:r w:rsidR="00F05116">
        <w:rPr>
          <w:color w:val="70AD47" w:themeColor="accent6"/>
        </w:rPr>
        <w:t xml:space="preserve">of the </w:t>
      </w:r>
      <w:r w:rsidRPr="00545D35">
        <w:rPr>
          <w:color w:val="70AD47" w:themeColor="accent6"/>
        </w:rPr>
        <w:t xml:space="preserve">biopsy </w:t>
      </w:r>
      <w:r w:rsidR="00F05116">
        <w:rPr>
          <w:color w:val="70AD47" w:themeColor="accent6"/>
        </w:rPr>
        <w:t>data in terms of extent of the atrophic process i</w:t>
      </w:r>
      <w:r w:rsidRPr="00545D35">
        <w:rPr>
          <w:color w:val="70AD47" w:themeColor="accent6"/>
        </w:rPr>
        <w:t xml:space="preserve">s </w:t>
      </w:r>
      <w:r w:rsidR="00F05116">
        <w:rPr>
          <w:color w:val="70AD47" w:themeColor="accent6"/>
        </w:rPr>
        <w:t xml:space="preserve">provided </w:t>
      </w:r>
      <w:r w:rsidRPr="00545D35">
        <w:rPr>
          <w:color w:val="70AD47" w:themeColor="accent6"/>
        </w:rPr>
        <w:t>in supplementary table 2</w:t>
      </w:r>
      <w:r w:rsidR="00F05116">
        <w:rPr>
          <w:color w:val="70AD47" w:themeColor="accent6"/>
        </w:rPr>
        <w:t>.</w:t>
      </w:r>
      <w:r w:rsidR="0077430D">
        <w:rPr>
          <w:color w:val="70AD47" w:themeColor="accent6"/>
        </w:rPr>
        <w:t xml:space="preserve"> </w:t>
      </w:r>
      <w:r w:rsidR="006F5584">
        <w:rPr>
          <w:color w:val="70AD47" w:themeColor="accent6"/>
        </w:rPr>
        <w:t xml:space="preserve">The definitions of the different histopathological situations is provided in the Methods section and this was amended </w:t>
      </w:r>
      <w:r w:rsidR="00D45CD2">
        <w:rPr>
          <w:color w:val="70AD47" w:themeColor="accent6"/>
        </w:rPr>
        <w:t>using the suggested wording</w:t>
      </w:r>
      <w:r w:rsidR="00EA1C40">
        <w:rPr>
          <w:color w:val="70AD47" w:themeColor="accent6"/>
        </w:rPr>
        <w:t xml:space="preserve"> (page 7, </w:t>
      </w:r>
      <w:r w:rsidR="00653DA2">
        <w:rPr>
          <w:color w:val="70AD47" w:themeColor="accent6"/>
        </w:rPr>
        <w:t>19-23</w:t>
      </w:r>
      <w:r w:rsidR="00B23596">
        <w:rPr>
          <w:color w:val="70AD47" w:themeColor="accent6"/>
        </w:rPr>
        <w:t>)</w:t>
      </w:r>
      <w:r w:rsidR="00D45CD2">
        <w:rPr>
          <w:color w:val="70AD47" w:themeColor="accent6"/>
        </w:rPr>
        <w:t>.</w:t>
      </w:r>
      <w:r w:rsidR="00111967">
        <w:rPr>
          <w:color w:val="70AD47" w:themeColor="accent6"/>
        </w:rPr>
        <w:t xml:space="preserve"> The endo</w:t>
      </w:r>
      <w:r w:rsidR="005248CA">
        <w:rPr>
          <w:color w:val="70AD47" w:themeColor="accent6"/>
        </w:rPr>
        <w:t>scopic biops</w:t>
      </w:r>
      <w:r w:rsidR="0012275F">
        <w:rPr>
          <w:color w:val="70AD47" w:themeColor="accent6"/>
        </w:rPr>
        <w:t>y definition is provided methods section in</w:t>
      </w:r>
      <w:r w:rsidRPr="00545D35">
        <w:rPr>
          <w:color w:val="70AD47" w:themeColor="accent6"/>
        </w:rPr>
        <w:t xml:space="preserve"> paragraph ‘Endoscopy’</w:t>
      </w:r>
      <w:r w:rsidR="00EA1C40">
        <w:rPr>
          <w:color w:val="70AD47" w:themeColor="accent6"/>
        </w:rPr>
        <w:t xml:space="preserve"> (</w:t>
      </w:r>
      <w:r w:rsidRPr="00545D35">
        <w:rPr>
          <w:color w:val="70AD47" w:themeColor="accent6"/>
        </w:rPr>
        <w:t xml:space="preserve">page </w:t>
      </w:r>
      <w:r w:rsidR="000A3366">
        <w:rPr>
          <w:color w:val="70AD47" w:themeColor="accent6"/>
        </w:rPr>
        <w:t>9</w:t>
      </w:r>
      <w:r w:rsidR="000A3366" w:rsidRPr="00545D35">
        <w:rPr>
          <w:color w:val="70AD47" w:themeColor="accent6"/>
        </w:rPr>
        <w:t xml:space="preserve"> </w:t>
      </w:r>
      <w:r w:rsidR="00EA1C40">
        <w:rPr>
          <w:color w:val="70AD47" w:themeColor="accent6"/>
        </w:rPr>
        <w:t xml:space="preserve">line </w:t>
      </w:r>
      <w:r w:rsidR="000A3366">
        <w:rPr>
          <w:color w:val="70AD47" w:themeColor="accent6"/>
        </w:rPr>
        <w:t>1-3</w:t>
      </w:r>
      <w:r w:rsidR="00EA1C40">
        <w:rPr>
          <w:color w:val="70AD47" w:themeColor="accent6"/>
        </w:rPr>
        <w:t>)</w:t>
      </w:r>
      <w:r w:rsidRPr="00545D35">
        <w:rPr>
          <w:color w:val="70AD47" w:themeColor="accent6"/>
        </w:rPr>
        <w:t>. The</w:t>
      </w:r>
      <w:r w:rsidR="00314E68">
        <w:rPr>
          <w:color w:val="70AD47" w:themeColor="accent6"/>
        </w:rPr>
        <w:t xml:space="preserve"> corresponding</w:t>
      </w:r>
      <w:r w:rsidRPr="00545D35">
        <w:rPr>
          <w:color w:val="70AD47" w:themeColor="accent6"/>
        </w:rPr>
        <w:t xml:space="preserve"> results and reference are </w:t>
      </w:r>
      <w:r w:rsidR="00314E68">
        <w:rPr>
          <w:color w:val="70AD47" w:themeColor="accent6"/>
        </w:rPr>
        <w:t>presented</w:t>
      </w:r>
      <w:r w:rsidRPr="00545D35">
        <w:rPr>
          <w:color w:val="70AD47" w:themeColor="accent6"/>
        </w:rPr>
        <w:t xml:space="preserve"> in the Results section </w:t>
      </w:r>
      <w:r w:rsidR="00C25473">
        <w:rPr>
          <w:color w:val="70AD47" w:themeColor="accent6"/>
        </w:rPr>
        <w:t>(</w:t>
      </w:r>
      <w:r w:rsidRPr="00545D35">
        <w:rPr>
          <w:color w:val="70AD47" w:themeColor="accent6"/>
        </w:rPr>
        <w:t>page</w:t>
      </w:r>
      <w:r w:rsidR="0084442A">
        <w:rPr>
          <w:color w:val="70AD47" w:themeColor="accent6"/>
        </w:rPr>
        <w:t xml:space="preserve"> 11,</w:t>
      </w:r>
      <w:r w:rsidRPr="00545D35">
        <w:rPr>
          <w:color w:val="70AD47" w:themeColor="accent6"/>
        </w:rPr>
        <w:t xml:space="preserve"> </w:t>
      </w:r>
      <w:r w:rsidR="00C25473">
        <w:rPr>
          <w:color w:val="70AD47" w:themeColor="accent6"/>
        </w:rPr>
        <w:t xml:space="preserve">line </w:t>
      </w:r>
      <w:r w:rsidR="0084442A">
        <w:rPr>
          <w:color w:val="70AD47" w:themeColor="accent6"/>
        </w:rPr>
        <w:t>6-8</w:t>
      </w:r>
      <w:r w:rsidR="00C25473">
        <w:rPr>
          <w:color w:val="70AD47" w:themeColor="accent6"/>
        </w:rPr>
        <w:t>)</w:t>
      </w:r>
      <w:r w:rsidRPr="00545D35">
        <w:rPr>
          <w:color w:val="70AD47" w:themeColor="accent6"/>
        </w:rPr>
        <w:t xml:space="preserve">. </w:t>
      </w:r>
      <w:r w:rsidR="00207E27">
        <w:br/>
      </w:r>
      <w:r w:rsidR="00207E27">
        <w:br/>
      </w:r>
    </w:p>
    <w:p w14:paraId="35C4190D" w14:textId="6F565930" w:rsidR="00545D35" w:rsidRDefault="00545D35" w:rsidP="00545D35">
      <w:pPr>
        <w:pStyle w:val="NormalWeb"/>
      </w:pPr>
      <w:r>
        <w:t>Reviewer 2</w:t>
      </w:r>
    </w:p>
    <w:p w14:paraId="6FA85C1B" w14:textId="5AA2E1FA" w:rsidR="00207E27" w:rsidRDefault="00207E27" w:rsidP="00545D35">
      <w:pPr>
        <w:pStyle w:val="NormalWeb"/>
        <w:ind w:left="360"/>
      </w:pPr>
      <w:r>
        <w:t xml:space="preserve">The paper titled: "Adequacy of endoscopic recognition and surveillance of gastric intestinal metaplasia and atrophic gastritis: a multicentre retrospective study in low incidence countries" is very interesting regarding the rate of endoscopic recognition of gastric pre-cancerous lesions. Also, the authors state well the limitations of this study. </w:t>
      </w:r>
    </w:p>
    <w:p w14:paraId="13E0944E" w14:textId="77777777" w:rsidR="00207E27" w:rsidRDefault="00207E27" w:rsidP="00207E27">
      <w:pPr>
        <w:pStyle w:val="NormalWeb"/>
      </w:pPr>
      <w:r>
        <w:t xml:space="preserve">However, I would like to ask the authors to provide more info with regards to the histological confirmation of the cases that they studies. For all the cases did the histological analysis confirm correctly the status of each case? </w:t>
      </w:r>
    </w:p>
    <w:p w14:paraId="222554B5" w14:textId="0236E03C" w:rsidR="00207E27" w:rsidRDefault="009B0A18" w:rsidP="00C25473">
      <w:pPr>
        <w:pStyle w:val="NormalWeb"/>
        <w:numPr>
          <w:ilvl w:val="0"/>
          <w:numId w:val="2"/>
        </w:numPr>
        <w:rPr>
          <w:color w:val="70AD47" w:themeColor="accent6"/>
        </w:rPr>
      </w:pPr>
      <w:r w:rsidRPr="00BB30AF">
        <w:rPr>
          <w:color w:val="70AD47" w:themeColor="accent6"/>
        </w:rPr>
        <w:t xml:space="preserve">All cases were retrieved by histopathological diagnosis. We’ve used this approach to investigate the true endoscopic recognition rate using the gold standard (histopathology) as starting point. </w:t>
      </w:r>
      <w:r w:rsidR="00BB30AF" w:rsidRPr="00BB30AF">
        <w:rPr>
          <w:color w:val="70AD47" w:themeColor="accent6"/>
        </w:rPr>
        <w:t>We have emphasized this in the revised manuscript in the introduction under the aims of this study</w:t>
      </w:r>
      <w:r w:rsidR="00C25473">
        <w:rPr>
          <w:color w:val="70AD47" w:themeColor="accent6"/>
        </w:rPr>
        <w:t>: ‘</w:t>
      </w:r>
      <w:r w:rsidR="00C25473" w:rsidRPr="00C25473">
        <w:rPr>
          <w:color w:val="70AD47" w:themeColor="accent6"/>
        </w:rPr>
        <w:t>the aims of this study were i. to quantify the rate of endoscopic recognition of GA and GIM in a real-life clinical practice using histopathologic diagnosis as gold standard</w:t>
      </w:r>
      <w:r w:rsidR="00C25473">
        <w:rPr>
          <w:color w:val="70AD47" w:themeColor="accent6"/>
        </w:rPr>
        <w:t>’</w:t>
      </w:r>
      <w:r w:rsidR="00DA3E9D">
        <w:rPr>
          <w:color w:val="70AD47" w:themeColor="accent6"/>
        </w:rPr>
        <w:t xml:space="preserve"> (page 6, </w:t>
      </w:r>
      <w:r w:rsidR="007745AF">
        <w:rPr>
          <w:color w:val="70AD47" w:themeColor="accent6"/>
        </w:rPr>
        <w:t>5-7</w:t>
      </w:r>
      <w:r w:rsidR="00DA3E9D">
        <w:rPr>
          <w:color w:val="70AD47" w:themeColor="accent6"/>
        </w:rPr>
        <w:t>)</w:t>
      </w:r>
      <w:r w:rsidR="00BB30AF" w:rsidRPr="00BB30AF">
        <w:rPr>
          <w:color w:val="70AD47" w:themeColor="accent6"/>
        </w:rPr>
        <w:t xml:space="preserve">. </w:t>
      </w:r>
    </w:p>
    <w:p w14:paraId="0476549F" w14:textId="0E4503F0" w:rsidR="00474645" w:rsidRPr="00BB30AF" w:rsidRDefault="00474645" w:rsidP="009B0A18">
      <w:pPr>
        <w:pStyle w:val="NormalWeb"/>
        <w:numPr>
          <w:ilvl w:val="0"/>
          <w:numId w:val="2"/>
        </w:numPr>
        <w:rPr>
          <w:color w:val="70AD47" w:themeColor="accent6"/>
        </w:rPr>
      </w:pPr>
      <w:r>
        <w:rPr>
          <w:color w:val="70AD47" w:themeColor="accent6"/>
        </w:rPr>
        <w:t xml:space="preserve">We provide </w:t>
      </w:r>
      <w:r w:rsidR="008A2BD7">
        <w:rPr>
          <w:color w:val="70AD47" w:themeColor="accent6"/>
        </w:rPr>
        <w:t>details of the histopathological diagnosis in the Methods section under paragraph “Definitions”</w:t>
      </w:r>
      <w:r w:rsidR="003522BD">
        <w:rPr>
          <w:color w:val="70AD47" w:themeColor="accent6"/>
        </w:rPr>
        <w:t xml:space="preserve"> </w:t>
      </w:r>
      <w:r w:rsidR="00B23596">
        <w:rPr>
          <w:color w:val="70AD47" w:themeColor="accent6"/>
        </w:rPr>
        <w:t>(page 7, 19-23)</w:t>
      </w:r>
      <w:r w:rsidR="00B23596" w:rsidDel="00B23596">
        <w:rPr>
          <w:color w:val="70AD47" w:themeColor="accent6"/>
        </w:rPr>
        <w:t xml:space="preserve"> </w:t>
      </w:r>
    </w:p>
    <w:p w14:paraId="03E72D8D" w14:textId="6A014894" w:rsidR="00BB30AF" w:rsidRDefault="00207E27" w:rsidP="00207E27">
      <w:pPr>
        <w:pStyle w:val="NormalWeb"/>
      </w:pPr>
      <w:r>
        <w:t xml:space="preserve">Also, what was the time between the histological analysis and the endoscopy. The authors should provide a comparison between endoscopic and histological confirmation of the cases (as the histological confirmation remains the gold standard). </w:t>
      </w:r>
    </w:p>
    <w:p w14:paraId="62C8B1F7" w14:textId="6269B265" w:rsidR="00207E27" w:rsidRPr="00BB30AF" w:rsidRDefault="00BE01B3" w:rsidP="00BB30AF">
      <w:pPr>
        <w:pStyle w:val="NormalWeb"/>
        <w:numPr>
          <w:ilvl w:val="0"/>
          <w:numId w:val="2"/>
        </w:numPr>
        <w:rPr>
          <w:color w:val="70AD47" w:themeColor="accent6"/>
        </w:rPr>
      </w:pPr>
      <w:r>
        <w:rPr>
          <w:color w:val="70AD47" w:themeColor="accent6"/>
        </w:rPr>
        <w:t>The</w:t>
      </w:r>
      <w:r w:rsidR="00BB30AF" w:rsidRPr="00BB30AF">
        <w:rPr>
          <w:color w:val="70AD47" w:themeColor="accent6"/>
        </w:rPr>
        <w:t xml:space="preserve"> biopsies were taken at the time of the endoscopy</w:t>
      </w:r>
      <w:r>
        <w:rPr>
          <w:color w:val="70AD47" w:themeColor="accent6"/>
        </w:rPr>
        <w:t xml:space="preserve">. The interval between the procedure and histopathologic report can vary but </w:t>
      </w:r>
      <w:r w:rsidR="00BB30AF" w:rsidRPr="00BB30AF">
        <w:rPr>
          <w:color w:val="70AD47" w:themeColor="accent6"/>
        </w:rPr>
        <w:t>usually</w:t>
      </w:r>
      <w:r>
        <w:rPr>
          <w:color w:val="70AD47" w:themeColor="accent6"/>
        </w:rPr>
        <w:t xml:space="preserve"> it was</w:t>
      </w:r>
      <w:r w:rsidR="00BB30AF" w:rsidRPr="00BB30AF">
        <w:rPr>
          <w:color w:val="70AD47" w:themeColor="accent6"/>
        </w:rPr>
        <w:t xml:space="preserve"> around 2</w:t>
      </w:r>
      <w:r>
        <w:rPr>
          <w:color w:val="70AD47" w:themeColor="accent6"/>
        </w:rPr>
        <w:t>-3</w:t>
      </w:r>
      <w:r w:rsidR="00BB30AF" w:rsidRPr="00BB30AF">
        <w:rPr>
          <w:color w:val="70AD47" w:themeColor="accent6"/>
        </w:rPr>
        <w:t xml:space="preserve"> weeks</w:t>
      </w:r>
      <w:r>
        <w:rPr>
          <w:color w:val="70AD47" w:themeColor="accent6"/>
        </w:rPr>
        <w:t xml:space="preserve">. The </w:t>
      </w:r>
      <w:r w:rsidR="00BB30AF" w:rsidRPr="00BB30AF">
        <w:rPr>
          <w:color w:val="70AD47" w:themeColor="accent6"/>
        </w:rPr>
        <w:t>management</w:t>
      </w:r>
      <w:r>
        <w:rPr>
          <w:color w:val="70AD47" w:themeColor="accent6"/>
        </w:rPr>
        <w:t xml:space="preserve"> decision</w:t>
      </w:r>
      <w:r w:rsidR="001168B8">
        <w:rPr>
          <w:color w:val="70AD47" w:themeColor="accent6"/>
        </w:rPr>
        <w:t xml:space="preserve">s were taken </w:t>
      </w:r>
      <w:r w:rsidR="00BB30AF" w:rsidRPr="00BB30AF">
        <w:rPr>
          <w:color w:val="70AD47" w:themeColor="accent6"/>
        </w:rPr>
        <w:t xml:space="preserve">accordingly </w:t>
      </w:r>
      <w:r w:rsidR="001168B8">
        <w:rPr>
          <w:color w:val="70AD47" w:themeColor="accent6"/>
        </w:rPr>
        <w:t>after report available</w:t>
      </w:r>
      <w:r w:rsidR="00BB30AF" w:rsidRPr="00BB30AF">
        <w:rPr>
          <w:color w:val="70AD47" w:themeColor="accent6"/>
        </w:rPr>
        <w:t xml:space="preserve">. The comparison between the outcome of the endoscopy and histopathology outcome is graphically given in Figure 1, but we have added another Supplementary table </w:t>
      </w:r>
      <w:r w:rsidR="00746841">
        <w:rPr>
          <w:color w:val="70AD47" w:themeColor="accent6"/>
        </w:rPr>
        <w:t>1</w:t>
      </w:r>
      <w:r w:rsidR="00BB30AF" w:rsidRPr="00BB30AF">
        <w:rPr>
          <w:color w:val="70AD47" w:themeColor="accent6"/>
        </w:rPr>
        <w:t xml:space="preserve"> with the exact numbers in detail. </w:t>
      </w:r>
    </w:p>
    <w:p w14:paraId="22A91E59" w14:textId="77777777" w:rsidR="00895691" w:rsidRDefault="00207E27" w:rsidP="00207E27">
      <w:pPr>
        <w:pStyle w:val="NormalWeb"/>
      </w:pPr>
      <w:r>
        <w:t>Finally, a further discussion is needed with regards to the AI tools for the confirmation of these cases. For example, I would suggest the authors take into account and discuss the following recent work: "A digital pathology workflow for the segmentation and classification of gastric glands: Study of gastric atrophy and intestinal metaplasia cases".</w:t>
      </w:r>
    </w:p>
    <w:p w14:paraId="03FD51B3" w14:textId="5019F62C" w:rsidR="00207E27" w:rsidRDefault="00895691" w:rsidP="00895691">
      <w:pPr>
        <w:pStyle w:val="NormalWeb"/>
        <w:numPr>
          <w:ilvl w:val="0"/>
          <w:numId w:val="2"/>
        </w:numPr>
      </w:pPr>
      <w:r w:rsidRPr="00895691">
        <w:rPr>
          <w:color w:val="70AD47" w:themeColor="accent6"/>
        </w:rPr>
        <w:t>We agree AI is the future to optim</w:t>
      </w:r>
      <w:r w:rsidR="00545D35">
        <w:rPr>
          <w:color w:val="70AD47" w:themeColor="accent6"/>
        </w:rPr>
        <w:t>ize endoscopist and pathologist</w:t>
      </w:r>
      <w:r w:rsidRPr="00895691">
        <w:rPr>
          <w:color w:val="70AD47" w:themeColor="accent6"/>
        </w:rPr>
        <w:t xml:space="preserve"> performance and we have added </w:t>
      </w:r>
      <w:r w:rsidR="00545D35">
        <w:rPr>
          <w:color w:val="70AD47" w:themeColor="accent6"/>
        </w:rPr>
        <w:t>a section</w:t>
      </w:r>
      <w:r w:rsidRPr="00895691">
        <w:rPr>
          <w:color w:val="70AD47" w:themeColor="accent6"/>
        </w:rPr>
        <w:t xml:space="preserve"> covering this including the mentioned reference</w:t>
      </w:r>
      <w:r w:rsidR="00545D35">
        <w:rPr>
          <w:color w:val="70AD47" w:themeColor="accent6"/>
        </w:rPr>
        <w:t xml:space="preserve"> in the discussion</w:t>
      </w:r>
      <w:r w:rsidR="00C25473">
        <w:rPr>
          <w:color w:val="70AD47" w:themeColor="accent6"/>
        </w:rPr>
        <w:t xml:space="preserve"> (page </w:t>
      </w:r>
      <w:r w:rsidR="00BA1497">
        <w:rPr>
          <w:color w:val="70AD47" w:themeColor="accent6"/>
        </w:rPr>
        <w:t>17</w:t>
      </w:r>
      <w:r w:rsidR="00C25473">
        <w:rPr>
          <w:color w:val="70AD47" w:themeColor="accent6"/>
        </w:rPr>
        <w:t>, 14 -2</w:t>
      </w:r>
      <w:r w:rsidR="00BA1497">
        <w:rPr>
          <w:color w:val="70AD47" w:themeColor="accent6"/>
        </w:rPr>
        <w:t>0</w:t>
      </w:r>
      <w:r w:rsidR="00C25473">
        <w:rPr>
          <w:color w:val="70AD47" w:themeColor="accent6"/>
        </w:rPr>
        <w:t>)</w:t>
      </w:r>
      <w:r w:rsidRPr="00895691">
        <w:rPr>
          <w:color w:val="70AD47" w:themeColor="accent6"/>
        </w:rPr>
        <w:t xml:space="preserve">. </w:t>
      </w:r>
      <w:r w:rsidR="00207E27" w:rsidRPr="00895691">
        <w:rPr>
          <w:color w:val="70AD47" w:themeColor="accent6"/>
        </w:rPr>
        <w:br/>
      </w:r>
      <w:r w:rsidR="00207E27">
        <w:br/>
        <w:t>Generally, I think that this article will certainly be of interest to many readers of PLOS One.</w:t>
      </w:r>
    </w:p>
    <w:p w14:paraId="1BFF1DB2" w14:textId="2833EB6A" w:rsidR="00207E27" w:rsidRPr="00207E27" w:rsidRDefault="00C32161" w:rsidP="00207E27">
      <w:pPr>
        <w:rPr>
          <w:rFonts w:cs="Arial"/>
          <w:szCs w:val="22"/>
        </w:rPr>
      </w:pPr>
      <w:r>
        <w:pict w14:anchorId="013FB487">
          <v:rect id="_x0000_i1025" style="width:453.6pt;height:1.5pt" o:hralign="center" o:hrstd="t" o:hr="t" fillcolor="#a0a0a0" stroked="f"/>
        </w:pict>
      </w:r>
    </w:p>
    <w:p w14:paraId="0CBB353C" w14:textId="77777777" w:rsidR="00702C34" w:rsidRPr="0098340D" w:rsidRDefault="00702C34" w:rsidP="003B5AB4">
      <w:pPr>
        <w:suppressLineNumbers/>
        <w:spacing w:line="280" w:lineRule="exact"/>
        <w:rPr>
          <w:szCs w:val="22"/>
          <w:lang w:val="fr-FR"/>
        </w:rPr>
      </w:pPr>
    </w:p>
    <w:sectPr w:rsidR="00702C34" w:rsidRPr="0098340D" w:rsidSect="003B5AB4">
      <w:headerReference w:type="default" r:id="rId9"/>
      <w:pgSz w:w="11906" w:h="16838" w:code="9"/>
      <w:pgMar w:top="567" w:right="1701" w:bottom="2557" w:left="1985" w:header="709" w:footer="709"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8ECE" w16cex:dateUtc="2023-04-17T08:24:00Z"/>
  <w16cex:commentExtensible w16cex:durableId="27ECDABF" w16cex:dateUtc="2023-04-21T08:49:00Z"/>
  <w16cex:commentExtensible w16cex:durableId="27E78F1B" w16cex:dateUtc="2023-04-17T08:25:00Z"/>
  <w16cex:commentExtensible w16cex:durableId="27E78F79" w16cex:dateUtc="2023-04-17T08:27:00Z"/>
  <w16cex:commentExtensible w16cex:durableId="27E78FCD" w16cex:dateUtc="2023-04-17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43DD5" w16cid:durableId="27E78ECE"/>
  <w16cid:commentId w16cid:paraId="0927DBA6" w16cid:durableId="27ECDABF"/>
  <w16cid:commentId w16cid:paraId="021F5E25" w16cid:durableId="27E78F1B"/>
  <w16cid:commentId w16cid:paraId="0D5DACB2" w16cid:durableId="27E78F79"/>
  <w16cid:commentId w16cid:paraId="25C09934" w16cid:durableId="27E78F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8D2D3" w14:textId="77777777" w:rsidR="00570DBD" w:rsidRDefault="00570DBD">
      <w:r>
        <w:separator/>
      </w:r>
    </w:p>
  </w:endnote>
  <w:endnote w:type="continuationSeparator" w:id="0">
    <w:p w14:paraId="108FC7F2" w14:textId="77777777" w:rsidR="00570DBD" w:rsidRDefault="0057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ZGCaspariT">
    <w:altName w:val="Corbel"/>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ZGCaspariTMedium">
    <w:altName w:val="Corbel"/>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D7CDF" w14:textId="77777777" w:rsidR="00570DBD" w:rsidRDefault="00570DBD">
      <w:r>
        <w:separator/>
      </w:r>
    </w:p>
  </w:footnote>
  <w:footnote w:type="continuationSeparator" w:id="0">
    <w:p w14:paraId="00E553CC" w14:textId="77777777" w:rsidR="00570DBD" w:rsidRDefault="0057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5F8A" w14:textId="77777777" w:rsidR="0017679C" w:rsidRDefault="0017679C">
    <w:pPr>
      <w:pStyle w:val="Header"/>
      <w:tabs>
        <w:tab w:val="clear" w:pos="4536"/>
        <w:tab w:val="left" w:pos="4678"/>
      </w:tabs>
      <w:ind w:left="4678"/>
      <w:rPr>
        <w:rStyle w:val="PageNumber"/>
        <w:sz w:val="18"/>
      </w:rPr>
    </w:pPr>
  </w:p>
  <w:p w14:paraId="20200714" w14:textId="77777777" w:rsidR="0017679C" w:rsidRDefault="0017679C">
    <w:pPr>
      <w:pStyle w:val="Header"/>
      <w:tabs>
        <w:tab w:val="clear" w:pos="4536"/>
        <w:tab w:val="left" w:pos="4678"/>
      </w:tabs>
      <w:ind w:left="4678"/>
      <w:rPr>
        <w:rStyle w:val="PageNumber"/>
      </w:rPr>
    </w:pPr>
  </w:p>
  <w:p w14:paraId="07BC4ADC" w14:textId="77777777" w:rsidR="0017679C" w:rsidRDefault="00176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79E1"/>
    <w:multiLevelType w:val="multilevel"/>
    <w:tmpl w:val="1316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B333E"/>
    <w:multiLevelType w:val="hybridMultilevel"/>
    <w:tmpl w:val="C5A00AA2"/>
    <w:lvl w:ilvl="0" w:tplc="1D4C4A4C">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1"/>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B4"/>
    <w:rsid w:val="00001231"/>
    <w:rsid w:val="000130CB"/>
    <w:rsid w:val="00020B2A"/>
    <w:rsid w:val="00021BB4"/>
    <w:rsid w:val="00030A9E"/>
    <w:rsid w:val="00031B94"/>
    <w:rsid w:val="000328A1"/>
    <w:rsid w:val="00036CB4"/>
    <w:rsid w:val="0004571D"/>
    <w:rsid w:val="0006246B"/>
    <w:rsid w:val="000825A9"/>
    <w:rsid w:val="0009071C"/>
    <w:rsid w:val="000A3366"/>
    <w:rsid w:val="000B2171"/>
    <w:rsid w:val="000B3F4D"/>
    <w:rsid w:val="000B409C"/>
    <w:rsid w:val="000C3B2B"/>
    <w:rsid w:val="000E1978"/>
    <w:rsid w:val="000F0EDB"/>
    <w:rsid w:val="000F396D"/>
    <w:rsid w:val="000F59F4"/>
    <w:rsid w:val="000F6732"/>
    <w:rsid w:val="000F7E4E"/>
    <w:rsid w:val="00111967"/>
    <w:rsid w:val="001168B8"/>
    <w:rsid w:val="0012275F"/>
    <w:rsid w:val="00122D98"/>
    <w:rsid w:val="00124F6F"/>
    <w:rsid w:val="001252CF"/>
    <w:rsid w:val="00133442"/>
    <w:rsid w:val="001370AF"/>
    <w:rsid w:val="00152297"/>
    <w:rsid w:val="00161D2C"/>
    <w:rsid w:val="00164FDF"/>
    <w:rsid w:val="00172FA8"/>
    <w:rsid w:val="001749E7"/>
    <w:rsid w:val="00174C82"/>
    <w:rsid w:val="0017679C"/>
    <w:rsid w:val="00176BB1"/>
    <w:rsid w:val="001B103B"/>
    <w:rsid w:val="001B61FF"/>
    <w:rsid w:val="001C4467"/>
    <w:rsid w:val="001C535F"/>
    <w:rsid w:val="001D6C0A"/>
    <w:rsid w:val="001E320F"/>
    <w:rsid w:val="001E3C37"/>
    <w:rsid w:val="001E5845"/>
    <w:rsid w:val="00207E27"/>
    <w:rsid w:val="00207F47"/>
    <w:rsid w:val="002357CD"/>
    <w:rsid w:val="0025033C"/>
    <w:rsid w:val="00262851"/>
    <w:rsid w:val="00270834"/>
    <w:rsid w:val="00274871"/>
    <w:rsid w:val="00277EE9"/>
    <w:rsid w:val="002825CC"/>
    <w:rsid w:val="002C15BF"/>
    <w:rsid w:val="002C4AEF"/>
    <w:rsid w:val="002C72B7"/>
    <w:rsid w:val="002E52AF"/>
    <w:rsid w:val="002E6BF0"/>
    <w:rsid w:val="002F7EB4"/>
    <w:rsid w:val="00300670"/>
    <w:rsid w:val="00314E68"/>
    <w:rsid w:val="00321E69"/>
    <w:rsid w:val="003224CE"/>
    <w:rsid w:val="003254CD"/>
    <w:rsid w:val="0033274C"/>
    <w:rsid w:val="00333D87"/>
    <w:rsid w:val="00340E30"/>
    <w:rsid w:val="003428F9"/>
    <w:rsid w:val="003460DA"/>
    <w:rsid w:val="003522BD"/>
    <w:rsid w:val="00360D80"/>
    <w:rsid w:val="00372CF6"/>
    <w:rsid w:val="00375F09"/>
    <w:rsid w:val="00380CAA"/>
    <w:rsid w:val="003863BB"/>
    <w:rsid w:val="003934A8"/>
    <w:rsid w:val="003A437C"/>
    <w:rsid w:val="003B5AB4"/>
    <w:rsid w:val="003C2D78"/>
    <w:rsid w:val="003D3FA4"/>
    <w:rsid w:val="003D5844"/>
    <w:rsid w:val="003E55D9"/>
    <w:rsid w:val="003E7829"/>
    <w:rsid w:val="003F6087"/>
    <w:rsid w:val="0042356D"/>
    <w:rsid w:val="00433D33"/>
    <w:rsid w:val="00440C14"/>
    <w:rsid w:val="00440F1F"/>
    <w:rsid w:val="00441C7F"/>
    <w:rsid w:val="00442442"/>
    <w:rsid w:val="00455572"/>
    <w:rsid w:val="00456A26"/>
    <w:rsid w:val="00467061"/>
    <w:rsid w:val="00474645"/>
    <w:rsid w:val="0048624F"/>
    <w:rsid w:val="00490BEC"/>
    <w:rsid w:val="00492816"/>
    <w:rsid w:val="004928FF"/>
    <w:rsid w:val="0049615F"/>
    <w:rsid w:val="004A2D9A"/>
    <w:rsid w:val="004A38F1"/>
    <w:rsid w:val="004B483F"/>
    <w:rsid w:val="004B5241"/>
    <w:rsid w:val="004B595E"/>
    <w:rsid w:val="004B60ED"/>
    <w:rsid w:val="004B7D33"/>
    <w:rsid w:val="004C07B5"/>
    <w:rsid w:val="004C5FCB"/>
    <w:rsid w:val="004D67BF"/>
    <w:rsid w:val="004E136F"/>
    <w:rsid w:val="004E1F26"/>
    <w:rsid w:val="005052CA"/>
    <w:rsid w:val="00506885"/>
    <w:rsid w:val="0050729D"/>
    <w:rsid w:val="005248CA"/>
    <w:rsid w:val="00535823"/>
    <w:rsid w:val="00545D35"/>
    <w:rsid w:val="005616C1"/>
    <w:rsid w:val="00570DBD"/>
    <w:rsid w:val="0059169D"/>
    <w:rsid w:val="005B5F37"/>
    <w:rsid w:val="005D3B1E"/>
    <w:rsid w:val="005D42B0"/>
    <w:rsid w:val="005D5738"/>
    <w:rsid w:val="005D66B2"/>
    <w:rsid w:val="005D74DB"/>
    <w:rsid w:val="005D7E89"/>
    <w:rsid w:val="0060505F"/>
    <w:rsid w:val="006330F5"/>
    <w:rsid w:val="00636A62"/>
    <w:rsid w:val="006434F8"/>
    <w:rsid w:val="00645384"/>
    <w:rsid w:val="00653DA2"/>
    <w:rsid w:val="00655F6B"/>
    <w:rsid w:val="00673B25"/>
    <w:rsid w:val="006966AB"/>
    <w:rsid w:val="006A0067"/>
    <w:rsid w:val="006A5566"/>
    <w:rsid w:val="006B5A8B"/>
    <w:rsid w:val="006B611D"/>
    <w:rsid w:val="006D2925"/>
    <w:rsid w:val="006D335D"/>
    <w:rsid w:val="006D4F74"/>
    <w:rsid w:val="006E7B6C"/>
    <w:rsid w:val="006F1509"/>
    <w:rsid w:val="006F5584"/>
    <w:rsid w:val="006F69C8"/>
    <w:rsid w:val="00700270"/>
    <w:rsid w:val="00702C34"/>
    <w:rsid w:val="00724207"/>
    <w:rsid w:val="00746841"/>
    <w:rsid w:val="00750493"/>
    <w:rsid w:val="0075497A"/>
    <w:rsid w:val="0075519A"/>
    <w:rsid w:val="00773500"/>
    <w:rsid w:val="0077430D"/>
    <w:rsid w:val="007745AF"/>
    <w:rsid w:val="00774838"/>
    <w:rsid w:val="00784ACE"/>
    <w:rsid w:val="007B08EE"/>
    <w:rsid w:val="007D01C9"/>
    <w:rsid w:val="007D4414"/>
    <w:rsid w:val="007D618E"/>
    <w:rsid w:val="007E1461"/>
    <w:rsid w:val="0084442A"/>
    <w:rsid w:val="00852184"/>
    <w:rsid w:val="00871570"/>
    <w:rsid w:val="00881492"/>
    <w:rsid w:val="00882D71"/>
    <w:rsid w:val="00885578"/>
    <w:rsid w:val="00891721"/>
    <w:rsid w:val="0089406B"/>
    <w:rsid w:val="00895691"/>
    <w:rsid w:val="008A115E"/>
    <w:rsid w:val="008A2BD7"/>
    <w:rsid w:val="008B25E6"/>
    <w:rsid w:val="008B44BF"/>
    <w:rsid w:val="008C76AA"/>
    <w:rsid w:val="008D3B90"/>
    <w:rsid w:val="008E4698"/>
    <w:rsid w:val="008F0C41"/>
    <w:rsid w:val="00921F3D"/>
    <w:rsid w:val="009223A1"/>
    <w:rsid w:val="00927DE9"/>
    <w:rsid w:val="00930941"/>
    <w:rsid w:val="00935F84"/>
    <w:rsid w:val="00940236"/>
    <w:rsid w:val="00943204"/>
    <w:rsid w:val="00946750"/>
    <w:rsid w:val="0095739E"/>
    <w:rsid w:val="0097238B"/>
    <w:rsid w:val="0097348E"/>
    <w:rsid w:val="009762A1"/>
    <w:rsid w:val="0098246A"/>
    <w:rsid w:val="0098340D"/>
    <w:rsid w:val="0098475A"/>
    <w:rsid w:val="00990F0A"/>
    <w:rsid w:val="00991A0C"/>
    <w:rsid w:val="00992258"/>
    <w:rsid w:val="009956AC"/>
    <w:rsid w:val="009964CF"/>
    <w:rsid w:val="009A11D0"/>
    <w:rsid w:val="009B0A18"/>
    <w:rsid w:val="009B5745"/>
    <w:rsid w:val="009B72C1"/>
    <w:rsid w:val="009D4ED6"/>
    <w:rsid w:val="009D6908"/>
    <w:rsid w:val="009F3A11"/>
    <w:rsid w:val="00A02D2C"/>
    <w:rsid w:val="00A15FD7"/>
    <w:rsid w:val="00A16225"/>
    <w:rsid w:val="00A17910"/>
    <w:rsid w:val="00A20A1B"/>
    <w:rsid w:val="00A249C1"/>
    <w:rsid w:val="00A30DB1"/>
    <w:rsid w:val="00A348EF"/>
    <w:rsid w:val="00A45672"/>
    <w:rsid w:val="00A465D6"/>
    <w:rsid w:val="00A473F7"/>
    <w:rsid w:val="00A64161"/>
    <w:rsid w:val="00A94239"/>
    <w:rsid w:val="00A978F2"/>
    <w:rsid w:val="00AA74B6"/>
    <w:rsid w:val="00AB324D"/>
    <w:rsid w:val="00AB43F0"/>
    <w:rsid w:val="00AC6D93"/>
    <w:rsid w:val="00AD6D4C"/>
    <w:rsid w:val="00B02F0E"/>
    <w:rsid w:val="00B06591"/>
    <w:rsid w:val="00B200BB"/>
    <w:rsid w:val="00B23363"/>
    <w:rsid w:val="00B23596"/>
    <w:rsid w:val="00B51837"/>
    <w:rsid w:val="00B90E48"/>
    <w:rsid w:val="00B93A6D"/>
    <w:rsid w:val="00B959E1"/>
    <w:rsid w:val="00B97629"/>
    <w:rsid w:val="00BA1497"/>
    <w:rsid w:val="00BA67C3"/>
    <w:rsid w:val="00BB0E0B"/>
    <w:rsid w:val="00BB30AF"/>
    <w:rsid w:val="00BC5EDA"/>
    <w:rsid w:val="00BD05F2"/>
    <w:rsid w:val="00BE01B3"/>
    <w:rsid w:val="00BF0C29"/>
    <w:rsid w:val="00BF1D1B"/>
    <w:rsid w:val="00C02501"/>
    <w:rsid w:val="00C03866"/>
    <w:rsid w:val="00C03D77"/>
    <w:rsid w:val="00C0506C"/>
    <w:rsid w:val="00C24D27"/>
    <w:rsid w:val="00C25473"/>
    <w:rsid w:val="00C2554B"/>
    <w:rsid w:val="00C32161"/>
    <w:rsid w:val="00C417B9"/>
    <w:rsid w:val="00C41AD6"/>
    <w:rsid w:val="00C437BA"/>
    <w:rsid w:val="00C438C5"/>
    <w:rsid w:val="00C51816"/>
    <w:rsid w:val="00C66754"/>
    <w:rsid w:val="00C737CA"/>
    <w:rsid w:val="00C74361"/>
    <w:rsid w:val="00C80873"/>
    <w:rsid w:val="00C81FC9"/>
    <w:rsid w:val="00C90732"/>
    <w:rsid w:val="00C95311"/>
    <w:rsid w:val="00CA24BA"/>
    <w:rsid w:val="00CA4CB1"/>
    <w:rsid w:val="00CA5D30"/>
    <w:rsid w:val="00CE2A9D"/>
    <w:rsid w:val="00CE3291"/>
    <w:rsid w:val="00CF4B1B"/>
    <w:rsid w:val="00CF5681"/>
    <w:rsid w:val="00CF5ABB"/>
    <w:rsid w:val="00D17601"/>
    <w:rsid w:val="00D2199B"/>
    <w:rsid w:val="00D42633"/>
    <w:rsid w:val="00D45CD2"/>
    <w:rsid w:val="00D623E7"/>
    <w:rsid w:val="00D82C33"/>
    <w:rsid w:val="00D85956"/>
    <w:rsid w:val="00DA3E9D"/>
    <w:rsid w:val="00DA71FC"/>
    <w:rsid w:val="00DB0C1E"/>
    <w:rsid w:val="00DC68F2"/>
    <w:rsid w:val="00DF0A26"/>
    <w:rsid w:val="00DF4A66"/>
    <w:rsid w:val="00E00759"/>
    <w:rsid w:val="00E158D3"/>
    <w:rsid w:val="00E316D7"/>
    <w:rsid w:val="00E408FE"/>
    <w:rsid w:val="00E42088"/>
    <w:rsid w:val="00E46722"/>
    <w:rsid w:val="00E4689A"/>
    <w:rsid w:val="00E621E2"/>
    <w:rsid w:val="00E62C9A"/>
    <w:rsid w:val="00E65C01"/>
    <w:rsid w:val="00E963CD"/>
    <w:rsid w:val="00EA10BA"/>
    <w:rsid w:val="00EA1C40"/>
    <w:rsid w:val="00EA250C"/>
    <w:rsid w:val="00EC2B65"/>
    <w:rsid w:val="00ED05A7"/>
    <w:rsid w:val="00EE032C"/>
    <w:rsid w:val="00EE1285"/>
    <w:rsid w:val="00EE220A"/>
    <w:rsid w:val="00F05116"/>
    <w:rsid w:val="00F06C2F"/>
    <w:rsid w:val="00F1035F"/>
    <w:rsid w:val="00F14CB9"/>
    <w:rsid w:val="00F2227C"/>
    <w:rsid w:val="00F50872"/>
    <w:rsid w:val="00F5253B"/>
    <w:rsid w:val="00F52C86"/>
    <w:rsid w:val="00F738D5"/>
    <w:rsid w:val="00F77CF8"/>
    <w:rsid w:val="00F822E2"/>
    <w:rsid w:val="00F861DA"/>
    <w:rsid w:val="00F920F4"/>
    <w:rsid w:val="00F959F6"/>
    <w:rsid w:val="00FA18B1"/>
    <w:rsid w:val="00FA645D"/>
    <w:rsid w:val="00FD130D"/>
    <w:rsid w:val="00FD1ABD"/>
    <w:rsid w:val="00FD1C8E"/>
    <w:rsid w:val="00FE72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6E740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ZGCaspariT" w:hAnsi="AZGCaspariT"/>
      <w:spacing w:val="2"/>
      <w:sz w:val="22"/>
      <w:lang w:val="en-US"/>
    </w:rPr>
  </w:style>
  <w:style w:type="paragraph" w:styleId="Heading1">
    <w:name w:val="heading 1"/>
    <w:basedOn w:val="Normal"/>
    <w:next w:val="Normal"/>
    <w:qFormat/>
    <w:pPr>
      <w:keepNext/>
      <w:ind w:left="3540" w:firstLine="708"/>
      <w:outlineLvl w:val="0"/>
    </w:pPr>
    <w:rPr>
      <w:b/>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link w:val="BalloonTextChar"/>
    <w:rsid w:val="0017679C"/>
    <w:rPr>
      <w:rFonts w:ascii="Tahoma" w:hAnsi="Tahoma" w:cs="Tahoma"/>
      <w:sz w:val="16"/>
      <w:szCs w:val="16"/>
    </w:rPr>
  </w:style>
  <w:style w:type="character" w:customStyle="1" w:styleId="BalloonTextChar">
    <w:name w:val="Balloon Text Char"/>
    <w:basedOn w:val="DefaultParagraphFont"/>
    <w:link w:val="BalloonText"/>
    <w:rsid w:val="0017679C"/>
    <w:rPr>
      <w:rFonts w:ascii="Tahoma" w:hAnsi="Tahoma" w:cs="Tahoma"/>
      <w:spacing w:val="2"/>
      <w:sz w:val="16"/>
      <w:szCs w:val="16"/>
      <w:lang w:val="en-US"/>
    </w:rPr>
  </w:style>
  <w:style w:type="paragraph" w:styleId="Revision">
    <w:name w:val="Revision"/>
    <w:hidden/>
    <w:uiPriority w:val="99"/>
    <w:semiHidden/>
    <w:rsid w:val="004B483F"/>
    <w:rPr>
      <w:rFonts w:ascii="AZGCaspariT" w:hAnsi="AZGCaspariT"/>
      <w:spacing w:val="2"/>
      <w:sz w:val="22"/>
      <w:lang w:val="en-US"/>
    </w:rPr>
  </w:style>
  <w:style w:type="paragraph" w:styleId="NormalWeb">
    <w:name w:val="Normal (Web)"/>
    <w:basedOn w:val="Normal"/>
    <w:uiPriority w:val="99"/>
    <w:unhideWhenUsed/>
    <w:rsid w:val="00207E27"/>
    <w:pPr>
      <w:spacing w:before="100" w:beforeAutospacing="1" w:after="100" w:afterAutospacing="1"/>
    </w:pPr>
    <w:rPr>
      <w:rFonts w:ascii="Times New Roman" w:eastAsiaTheme="minorHAnsi" w:hAnsi="Times New Roman"/>
      <w:spacing w:val="0"/>
      <w:sz w:val="24"/>
      <w:szCs w:val="24"/>
      <w:lang w:eastAsia="en-US"/>
    </w:rPr>
  </w:style>
  <w:style w:type="character" w:styleId="CommentReference">
    <w:name w:val="annotation reference"/>
    <w:basedOn w:val="DefaultParagraphFont"/>
    <w:uiPriority w:val="99"/>
    <w:semiHidden/>
    <w:unhideWhenUsed/>
    <w:rsid w:val="00992258"/>
    <w:rPr>
      <w:sz w:val="16"/>
      <w:szCs w:val="16"/>
    </w:rPr>
  </w:style>
  <w:style w:type="paragraph" w:styleId="CommentText">
    <w:name w:val="annotation text"/>
    <w:basedOn w:val="Normal"/>
    <w:link w:val="CommentTextChar"/>
    <w:uiPriority w:val="99"/>
    <w:semiHidden/>
    <w:unhideWhenUsed/>
    <w:rsid w:val="00992258"/>
    <w:rPr>
      <w:sz w:val="20"/>
    </w:rPr>
  </w:style>
  <w:style w:type="character" w:customStyle="1" w:styleId="CommentTextChar">
    <w:name w:val="Comment Text Char"/>
    <w:basedOn w:val="DefaultParagraphFont"/>
    <w:link w:val="CommentText"/>
    <w:uiPriority w:val="99"/>
    <w:semiHidden/>
    <w:rsid w:val="00992258"/>
    <w:rPr>
      <w:rFonts w:ascii="AZGCaspariT" w:hAnsi="AZGCaspariT"/>
      <w:spacing w:val="2"/>
      <w:lang w:val="en-US"/>
    </w:rPr>
  </w:style>
  <w:style w:type="paragraph" w:styleId="CommentSubject">
    <w:name w:val="annotation subject"/>
    <w:basedOn w:val="CommentText"/>
    <w:next w:val="CommentText"/>
    <w:link w:val="CommentSubjectChar"/>
    <w:uiPriority w:val="99"/>
    <w:semiHidden/>
    <w:unhideWhenUsed/>
    <w:rsid w:val="00992258"/>
    <w:rPr>
      <w:b/>
      <w:bCs/>
    </w:rPr>
  </w:style>
  <w:style w:type="character" w:customStyle="1" w:styleId="CommentSubjectChar">
    <w:name w:val="Comment Subject Char"/>
    <w:basedOn w:val="CommentTextChar"/>
    <w:link w:val="CommentSubject"/>
    <w:uiPriority w:val="99"/>
    <w:semiHidden/>
    <w:rsid w:val="00992258"/>
    <w:rPr>
      <w:rFonts w:ascii="AZGCaspariT" w:hAnsi="AZGCaspariT"/>
      <w:b/>
      <w:bCs/>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1903">
      <w:bodyDiv w:val="1"/>
      <w:marLeft w:val="0"/>
      <w:marRight w:val="0"/>
      <w:marTop w:val="0"/>
      <w:marBottom w:val="0"/>
      <w:divBdr>
        <w:top w:val="none" w:sz="0" w:space="0" w:color="auto"/>
        <w:left w:val="none" w:sz="0" w:space="0" w:color="auto"/>
        <w:bottom w:val="none" w:sz="0" w:space="0" w:color="auto"/>
        <w:right w:val="none" w:sz="0" w:space="0" w:color="auto"/>
      </w:divBdr>
    </w:div>
    <w:div w:id="975375856">
      <w:bodyDiv w:val="1"/>
      <w:marLeft w:val="0"/>
      <w:marRight w:val="0"/>
      <w:marTop w:val="0"/>
      <w:marBottom w:val="0"/>
      <w:divBdr>
        <w:top w:val="none" w:sz="0" w:space="0" w:color="auto"/>
        <w:left w:val="none" w:sz="0" w:space="0" w:color="auto"/>
        <w:bottom w:val="none" w:sz="0" w:space="0" w:color="auto"/>
        <w:right w:val="none" w:sz="0" w:space="0" w:color="auto"/>
      </w:divBdr>
    </w:div>
    <w:div w:id="1174805485">
      <w:bodyDiv w:val="1"/>
      <w:marLeft w:val="0"/>
      <w:marRight w:val="0"/>
      <w:marTop w:val="0"/>
      <w:marBottom w:val="0"/>
      <w:divBdr>
        <w:top w:val="none" w:sz="0" w:space="0" w:color="auto"/>
        <w:left w:val="none" w:sz="0" w:space="0" w:color="auto"/>
        <w:bottom w:val="none" w:sz="0" w:space="0" w:color="auto"/>
        <w:right w:val="none" w:sz="0" w:space="0" w:color="auto"/>
      </w:divBdr>
    </w:div>
    <w:div w:id="1304193631">
      <w:bodyDiv w:val="1"/>
      <w:marLeft w:val="0"/>
      <w:marRight w:val="0"/>
      <w:marTop w:val="0"/>
      <w:marBottom w:val="0"/>
      <w:divBdr>
        <w:top w:val="none" w:sz="0" w:space="0" w:color="auto"/>
        <w:left w:val="none" w:sz="0" w:space="0" w:color="auto"/>
        <w:bottom w:val="none" w:sz="0" w:space="0" w:color="auto"/>
        <w:right w:val="none" w:sz="0" w:space="0" w:color="auto"/>
      </w:divBdr>
    </w:div>
    <w:div w:id="1310208813">
      <w:bodyDiv w:val="1"/>
      <w:marLeft w:val="0"/>
      <w:marRight w:val="0"/>
      <w:marTop w:val="0"/>
      <w:marBottom w:val="0"/>
      <w:divBdr>
        <w:top w:val="none" w:sz="0" w:space="0" w:color="auto"/>
        <w:left w:val="none" w:sz="0" w:space="0" w:color="auto"/>
        <w:bottom w:val="none" w:sz="0" w:space="0" w:color="auto"/>
        <w:right w:val="none" w:sz="0" w:space="0" w:color="auto"/>
      </w:divBdr>
    </w:div>
    <w:div w:id="1655989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6205</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Acad. Ziekenhuis Groningen</Company>
  <LinksUpToDate>false</LinksUpToDate>
  <CharactersWithSpaces>7336</CharactersWithSpaces>
  <SharedDoc>false</SharedDoc>
  <HLinks>
    <vt:vector size="6" baseType="variant">
      <vt:variant>
        <vt:i4>7471224</vt:i4>
      </vt:variant>
      <vt:variant>
        <vt:i4>4242</vt:i4>
      </vt:variant>
      <vt:variant>
        <vt:i4>1028</vt:i4>
      </vt:variant>
      <vt:variant>
        <vt:i4>1</vt:i4>
      </vt:variant>
      <vt:variant>
        <vt:lpwstr>UMCGEngels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MO.GBE</dc:creator>
  <cp:keywords/>
  <dc:description/>
  <cp:lastModifiedBy>Judith Honing</cp:lastModifiedBy>
  <cp:revision>3</cp:revision>
  <cp:lastPrinted>2014-06-16T15:03:00Z</cp:lastPrinted>
  <dcterms:created xsi:type="dcterms:W3CDTF">2023-04-22T16:17:00Z</dcterms:created>
  <dcterms:modified xsi:type="dcterms:W3CDTF">2023-04-22T16:18:00Z</dcterms:modified>
</cp:coreProperties>
</file>