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4" w:rsidRPr="0034486E" w:rsidRDefault="00320924" w:rsidP="00320924">
      <w:pPr>
        <w:spacing w:line="480" w:lineRule="auto"/>
      </w:pPr>
      <w:r w:rsidRPr="0034486E">
        <w:t xml:space="preserve">Table S2. Summary of and comparison between matching covariates across 28,490 points split equally between those with and without protection, following matching in </w:t>
      </w:r>
      <w:proofErr w:type="spellStart"/>
      <w:r w:rsidRPr="0034486E">
        <w:t>MatchIt</w:t>
      </w:r>
      <w:proofErr w:type="spellEnd"/>
      <w:r w:rsidRPr="0034486E">
        <w:t xml:space="preserve"> [1] using </w:t>
      </w:r>
      <w:proofErr w:type="spellStart"/>
      <w:r w:rsidRPr="0034486E">
        <w:t>calipers</w:t>
      </w:r>
      <w:proofErr w:type="spellEnd"/>
      <w:r w:rsidRPr="0034486E">
        <w:t xml:space="preserve"> =0.5 SD. Land-cover variables were identified from visual assessment. In addition to the basic statistics, the differences in the empirical cumulative distance function are also given, for which values closer to 0 indicate better matching.</w:t>
      </w:r>
    </w:p>
    <w:p w:rsidR="00320924" w:rsidRDefault="00320924" w:rsidP="00320924"/>
    <w:p w:rsidR="00320924" w:rsidRDefault="00320924" w:rsidP="00320924"/>
    <w:tbl>
      <w:tblPr>
        <w:tblStyle w:val="LightShading2"/>
        <w:tblW w:w="5000" w:type="pct"/>
        <w:tblLayout w:type="fixed"/>
        <w:tblLook w:val="04A0"/>
      </w:tblPr>
      <w:tblGrid>
        <w:gridCol w:w="1047"/>
        <w:gridCol w:w="756"/>
        <w:gridCol w:w="735"/>
        <w:gridCol w:w="1124"/>
        <w:gridCol w:w="1396"/>
        <w:gridCol w:w="2296"/>
        <w:gridCol w:w="923"/>
        <w:gridCol w:w="1299"/>
      </w:tblGrid>
      <w:tr w:rsidR="00320924" w:rsidRPr="00C56220" w:rsidTr="00BB483B">
        <w:trPr>
          <w:cnfStyle w:val="100000000000"/>
          <w:trHeight w:val="315"/>
        </w:trPr>
        <w:tc>
          <w:tcPr>
            <w:cnfStyle w:val="001000000000"/>
            <w:tcW w:w="546" w:type="pct"/>
            <w:noWrap/>
            <w:hideMark/>
          </w:tcPr>
          <w:p w:rsidR="00320924" w:rsidRPr="00D21D43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Mean protect</w:t>
            </w:r>
          </w:p>
        </w:tc>
        <w:tc>
          <w:tcPr>
            <w:tcW w:w="383" w:type="pct"/>
            <w:noWrap/>
            <w:hideMark/>
          </w:tcPr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Mean </w:t>
            </w:r>
            <w:proofErr w:type="spell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unprot</w:t>
            </w:r>
            <w:proofErr w:type="spellEnd"/>
          </w:p>
        </w:tc>
        <w:tc>
          <w:tcPr>
            <w:tcW w:w="587" w:type="pct"/>
            <w:noWrap/>
            <w:hideMark/>
          </w:tcPr>
          <w:p w:rsidR="00320924" w:rsidRPr="00974EC4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4E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Std Dev around </w:t>
            </w:r>
            <w:proofErr w:type="spellStart"/>
            <w:r w:rsidRPr="00974E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unprot</w:t>
            </w:r>
            <w:proofErr w:type="spellEnd"/>
          </w:p>
          <w:p w:rsidR="00320924" w:rsidRPr="00974EC4" w:rsidRDefault="00320924" w:rsidP="00BB483B">
            <w:pPr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74E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mean</w:t>
            </w:r>
          </w:p>
        </w:tc>
        <w:tc>
          <w:tcPr>
            <w:tcW w:w="729" w:type="pct"/>
            <w:noWrap/>
            <w:hideMark/>
          </w:tcPr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74EC4">
              <w:rPr>
                <w:rFonts w:ascii="Arial" w:hAnsi="Arial" w:cs="Arial"/>
                <w:b w:val="0"/>
                <w:sz w:val="20"/>
                <w:szCs w:val="20"/>
              </w:rPr>
              <w:t>Std.Dev</w:t>
            </w:r>
            <w:proofErr w:type="spellEnd"/>
            <w:r w:rsidRPr="00974EC4">
              <w:rPr>
                <w:rFonts w:ascii="Arial" w:hAnsi="Arial" w:cs="Arial"/>
                <w:b w:val="0"/>
                <w:sz w:val="20"/>
                <w:szCs w:val="20"/>
              </w:rPr>
              <w:t xml:space="preserve"> for mean difference </w:t>
            </w:r>
            <w:proofErr w:type="spellStart"/>
            <w:r w:rsidRPr="00974EC4">
              <w:rPr>
                <w:rFonts w:ascii="Arial" w:hAnsi="Arial" w:cs="Arial"/>
                <w:b w:val="0"/>
                <w:sz w:val="20"/>
                <w:szCs w:val="20"/>
              </w:rPr>
              <w:t>prot</w:t>
            </w:r>
            <w:proofErr w:type="spellEnd"/>
            <w:r w:rsidRPr="00974EC4">
              <w:rPr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974EC4">
              <w:rPr>
                <w:rFonts w:ascii="Arial" w:hAnsi="Arial" w:cs="Arial"/>
                <w:b w:val="0"/>
                <w:sz w:val="20"/>
                <w:szCs w:val="20"/>
              </w:rPr>
              <w:t>unprot</w:t>
            </w:r>
            <w:proofErr w:type="spellEnd"/>
            <w:r w:rsidRPr="00974EC4" w:rsidDel="00974E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pct"/>
            <w:noWrap/>
            <w:hideMark/>
          </w:tcPr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 Diff. 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empi</w:t>
            </w:r>
            <w:r w:rsidRPr="00D21D4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ri</w:t>
            </w: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cal</w:t>
            </w:r>
            <w:proofErr w:type="gram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cumul</w:t>
            </w:r>
            <w:proofErr w:type="spell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. dist.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funct</w:t>
            </w:r>
            <w:proofErr w:type="spellEnd"/>
            <w:proofErr w:type="gram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Median</w:t>
            </w:r>
          </w:p>
        </w:tc>
        <w:tc>
          <w:tcPr>
            <w:tcW w:w="482" w:type="pct"/>
            <w:noWrap/>
            <w:hideMark/>
          </w:tcPr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Diff. 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emp</w:t>
            </w:r>
            <w:r w:rsidRPr="00D21D4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rical 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cumul</w:t>
            </w:r>
            <w:proofErr w:type="spellEnd"/>
            <w:proofErr w:type="gram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dist</w:t>
            </w:r>
            <w:proofErr w:type="gram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funct</w:t>
            </w:r>
            <w:proofErr w:type="spell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 Mean</w:t>
            </w:r>
          </w:p>
        </w:tc>
        <w:tc>
          <w:tcPr>
            <w:tcW w:w="678" w:type="pct"/>
            <w:noWrap/>
            <w:hideMark/>
          </w:tcPr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Diff. 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emp</w:t>
            </w:r>
            <w:r w:rsidRPr="00D21D4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rical</w:t>
            </w:r>
            <w:proofErr w:type="gram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cumul</w:t>
            </w:r>
            <w:proofErr w:type="spell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dist</w:t>
            </w:r>
            <w:proofErr w:type="gram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funct</w:t>
            </w:r>
            <w:proofErr w:type="spellEnd"/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320924" w:rsidRPr="00D21D43" w:rsidRDefault="00320924" w:rsidP="00BB483B">
            <w:pPr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1D43">
              <w:rPr>
                <w:rFonts w:ascii="Arial" w:hAnsi="Arial" w:cs="Arial"/>
                <w:b w:val="0"/>
                <w:sz w:val="20"/>
                <w:szCs w:val="20"/>
              </w:rPr>
              <w:t xml:space="preserve"> Max</w:t>
            </w:r>
          </w:p>
        </w:tc>
      </w:tr>
      <w:tr w:rsidR="00320924" w:rsidRPr="00C56220" w:rsidTr="00BB483B">
        <w:trPr>
          <w:cnfStyle w:val="000000100000"/>
          <w:trHeight w:val="31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altitude (m)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1041.33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811.29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613.29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320924" w:rsidRPr="00C56220" w:rsidTr="00BB483B">
        <w:trPr>
          <w:trHeight w:val="31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Dist. to roads (km)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20924" w:rsidRPr="00C56220" w:rsidTr="00BB483B">
        <w:trPr>
          <w:cnfStyle w:val="000000100000"/>
          <w:trHeight w:val="31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 xml:space="preserve">Human </w:t>
            </w:r>
            <w:proofErr w:type="spellStart"/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popn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density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57.87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39.44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182.08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320924" w:rsidRPr="00C56220" w:rsidTr="00BB483B">
        <w:trPr>
          <w:trHeight w:val="28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closed forest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320924" w:rsidRPr="00C56220" w:rsidTr="00BB483B">
        <w:trPr>
          <w:cnfStyle w:val="000000100000"/>
          <w:trHeight w:val="28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open forest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320924" w:rsidRPr="00C56220" w:rsidTr="00BB483B">
        <w:trPr>
          <w:trHeight w:val="28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shrub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20924" w:rsidRPr="00C56220" w:rsidTr="00BB483B">
        <w:trPr>
          <w:cnfStyle w:val="000000100000"/>
          <w:trHeight w:val="28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herb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20924" w:rsidRPr="00C56220" w:rsidTr="00BB483B">
        <w:trPr>
          <w:trHeight w:val="28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flooded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20924" w:rsidRPr="00C56220" w:rsidTr="00BB483B">
        <w:trPr>
          <w:cnfStyle w:val="000000100000"/>
          <w:trHeight w:val="28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water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20924" w:rsidRPr="00C56220" w:rsidTr="00BB483B">
        <w:trPr>
          <w:trHeight w:val="285"/>
        </w:trPr>
        <w:tc>
          <w:tcPr>
            <w:cnfStyle w:val="001000000000"/>
            <w:tcW w:w="546" w:type="pct"/>
            <w:noWrap/>
            <w:hideMark/>
          </w:tcPr>
          <w:p w:rsidR="00320924" w:rsidRPr="00C56220" w:rsidRDefault="00320924" w:rsidP="00BB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56220">
              <w:rPr>
                <w:rFonts w:ascii="Arial" w:hAnsi="Arial" w:cs="Arial"/>
                <w:b w:val="0"/>
                <w:sz w:val="20"/>
                <w:szCs w:val="20"/>
              </w:rPr>
              <w:t>bare</w:t>
            </w:r>
          </w:p>
        </w:tc>
        <w:tc>
          <w:tcPr>
            <w:tcW w:w="394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83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87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72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199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482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678" w:type="pct"/>
            <w:noWrap/>
            <w:hideMark/>
          </w:tcPr>
          <w:p w:rsidR="00320924" w:rsidRPr="00C56220" w:rsidRDefault="00320924" w:rsidP="00BB483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5622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320924" w:rsidRDefault="00320924" w:rsidP="00320924">
      <w:pPr>
        <w:rPr>
          <w:rFonts w:ascii="Palatino Linotype" w:hAnsi="Palatino Linotype"/>
        </w:rPr>
      </w:pPr>
    </w:p>
    <w:p w:rsidR="00AD7AF1" w:rsidRDefault="00AD7AF1" w:rsidP="00320924">
      <w:pPr>
        <w:rPr>
          <w:rFonts w:ascii="Palatino Linotype" w:hAnsi="Palatino Linotype"/>
        </w:rPr>
      </w:pPr>
    </w:p>
    <w:p w:rsidR="00AD7AF1" w:rsidRPr="00AD7AF1" w:rsidRDefault="00AD7AF1" w:rsidP="00AD7AF1">
      <w:pPr>
        <w:rPr>
          <w:rFonts w:ascii="Palatino Linotype" w:hAnsi="Palatino Linotype"/>
        </w:rPr>
      </w:pPr>
      <w:r w:rsidRPr="00AD7AF1">
        <w:rPr>
          <w:rFonts w:ascii="Palatino Linotype" w:hAnsi="Palatino Linotype"/>
        </w:rPr>
        <w:t>References</w:t>
      </w:r>
    </w:p>
    <w:p w:rsidR="00AD7AF1" w:rsidRPr="00AD7AF1" w:rsidRDefault="00AD7AF1" w:rsidP="00AD7AF1">
      <w:pPr>
        <w:rPr>
          <w:rFonts w:ascii="Palatino Linotype" w:hAnsi="Palatino Linotype"/>
        </w:rPr>
      </w:pPr>
    </w:p>
    <w:p w:rsidR="00AD7AF1" w:rsidRPr="00AD7AF1" w:rsidRDefault="00AD7AF1" w:rsidP="00AD7AF1">
      <w:pPr>
        <w:rPr>
          <w:rFonts w:ascii="Palatino Linotype" w:hAnsi="Palatino Linotype"/>
        </w:rPr>
      </w:pPr>
      <w:r w:rsidRPr="00AD7AF1">
        <w:rPr>
          <w:rFonts w:ascii="Palatino Linotype" w:hAnsi="Palatino Linotype"/>
        </w:rPr>
        <w:t>1</w:t>
      </w:r>
      <w:bookmarkStart w:id="0" w:name="_ENREF_2"/>
      <w:r w:rsidRPr="00AD7AF1">
        <w:rPr>
          <w:rFonts w:ascii="Palatino Linotype" w:hAnsi="Palatino Linotype"/>
        </w:rPr>
        <w:t xml:space="preserve">. Ho D, Imai K, King G, Stuart EA (2011) </w:t>
      </w:r>
      <w:proofErr w:type="spellStart"/>
      <w:r w:rsidRPr="00AD7AF1">
        <w:rPr>
          <w:rFonts w:ascii="Palatino Linotype" w:hAnsi="Palatino Linotype"/>
        </w:rPr>
        <w:t>MatchIt</w:t>
      </w:r>
      <w:proofErr w:type="spellEnd"/>
      <w:r w:rsidRPr="00AD7AF1">
        <w:rPr>
          <w:rFonts w:ascii="Palatino Linotype" w:hAnsi="Palatino Linotype"/>
        </w:rPr>
        <w:t xml:space="preserve">: Nonparametric </w:t>
      </w:r>
      <w:proofErr w:type="spellStart"/>
      <w:r w:rsidRPr="00AD7AF1">
        <w:rPr>
          <w:rFonts w:ascii="Palatino Linotype" w:hAnsi="Palatino Linotype"/>
        </w:rPr>
        <w:t>Preprocessing</w:t>
      </w:r>
      <w:proofErr w:type="spellEnd"/>
      <w:r w:rsidRPr="00AD7AF1">
        <w:rPr>
          <w:rFonts w:ascii="Palatino Linotype" w:hAnsi="Palatino Linotype"/>
        </w:rPr>
        <w:t xml:space="preserve"> for Parametric Causal Inference. Journal of Statistical Software 42: 1-28.</w:t>
      </w:r>
      <w:bookmarkEnd w:id="0"/>
    </w:p>
    <w:p w:rsidR="00AD7AF1" w:rsidRDefault="00AD7AF1" w:rsidP="00320924">
      <w:pPr>
        <w:rPr>
          <w:rFonts w:ascii="Palatino Linotype" w:hAnsi="Palatino Linotype"/>
        </w:rPr>
      </w:pPr>
    </w:p>
    <w:sectPr w:rsidR="00AD7AF1" w:rsidSect="00172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924"/>
    <w:rsid w:val="0017250F"/>
    <w:rsid w:val="002C293D"/>
    <w:rsid w:val="00320924"/>
    <w:rsid w:val="008D047B"/>
    <w:rsid w:val="00AD7AF1"/>
    <w:rsid w:val="00D15B42"/>
    <w:rsid w:val="00E3013E"/>
    <w:rsid w:val="00F26B6B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320924"/>
    <w:pPr>
      <w:spacing w:after="0" w:line="240" w:lineRule="auto"/>
    </w:pPr>
    <w:rPr>
      <w:rFonts w:eastAsia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RSPB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GMB</cp:lastModifiedBy>
  <cp:revision>2</cp:revision>
  <dcterms:created xsi:type="dcterms:W3CDTF">2013-05-02T12:50:00Z</dcterms:created>
  <dcterms:modified xsi:type="dcterms:W3CDTF">2013-05-02T12:54:00Z</dcterms:modified>
</cp:coreProperties>
</file>