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C171B" w14:textId="1F1459FB" w:rsidR="00AE31AC" w:rsidRDefault="00241822">
      <w:pPr>
        <w:spacing w:after="0"/>
        <w:rPr>
          <w:b/>
        </w:rPr>
      </w:pPr>
      <w:r>
        <w:rPr>
          <w:b/>
        </w:rPr>
        <w:t>S</w:t>
      </w:r>
      <w:r w:rsidR="00CF30AF">
        <w:rPr>
          <w:b/>
        </w:rPr>
        <w:t>3</w:t>
      </w:r>
      <w:r>
        <w:rPr>
          <w:b/>
        </w:rPr>
        <w:t xml:space="preserve"> File: Importance of each variables to the species models.</w:t>
      </w:r>
    </w:p>
    <w:p w14:paraId="081C171C" w14:textId="77777777" w:rsidR="00AE31AC" w:rsidRDefault="00AE31AC">
      <w:pPr>
        <w:spacing w:after="0"/>
      </w:pPr>
    </w:p>
    <w:p w14:paraId="081C171D" w14:textId="77777777" w:rsidR="00AE31AC" w:rsidRDefault="00AE31AC">
      <w:pPr>
        <w:spacing w:after="0"/>
      </w:pPr>
    </w:p>
    <w:p w14:paraId="081C171E" w14:textId="03180112" w:rsidR="00AE31AC" w:rsidRDefault="00241822">
      <w:pPr>
        <w:spacing w:after="0"/>
      </w:pPr>
      <w:bookmarkStart w:id="0" w:name="_heading=h.gjdgxs" w:colFirst="0" w:colLast="0"/>
      <w:bookmarkEnd w:id="0"/>
      <w:r>
        <w:t xml:space="preserve">Table </w:t>
      </w:r>
      <w:r w:rsidR="00CF30AF">
        <w:t>D</w:t>
      </w:r>
      <w:r>
        <w:t>: The three most important variables selected by each species model. Full descriptions of each variable are given in the S1 File. Variables associated with the urban-rural gradient, forest cover and other vegetation cover are highlighted.</w:t>
      </w:r>
    </w:p>
    <w:tbl>
      <w:tblPr>
        <w:tblStyle w:val="a"/>
        <w:tblW w:w="10203" w:type="dxa"/>
        <w:tblLayout w:type="fixed"/>
        <w:tblLook w:val="0400" w:firstRow="0" w:lastRow="0" w:firstColumn="0" w:lastColumn="0" w:noHBand="0" w:noVBand="1"/>
      </w:tblPr>
      <w:tblGrid>
        <w:gridCol w:w="2551"/>
        <w:gridCol w:w="2552"/>
        <w:gridCol w:w="2552"/>
        <w:gridCol w:w="2548"/>
      </w:tblGrid>
      <w:tr w:rsidR="00AE31AC" w14:paraId="081C1723" w14:textId="77777777">
        <w:trPr>
          <w:trHeight w:val="2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1F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Vector sp</w:t>
            </w:r>
            <w:r>
              <w:rPr>
                <w:b/>
                <w:color w:val="000000"/>
                <w:sz w:val="20"/>
                <w:szCs w:val="20"/>
              </w:rPr>
              <w:t>ecies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20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Variable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21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Variable 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22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Variable 3</w:t>
            </w:r>
          </w:p>
        </w:tc>
      </w:tr>
      <w:tr w:rsidR="00AE31AC" w14:paraId="081C1728" w14:textId="77777777">
        <w:trPr>
          <w:trHeight w:val="2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24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Eratyrus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mucronatus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  <w:vAlign w:val="bottom"/>
          </w:tcPr>
          <w:p w14:paraId="081C1725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evergreen broadleaf forest cover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bottom"/>
          </w:tcPr>
          <w:p w14:paraId="081C1726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savannah cover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27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diurnal temperature difference</w:t>
            </w:r>
          </w:p>
        </w:tc>
      </w:tr>
      <w:tr w:rsidR="00AE31AC" w14:paraId="081C172D" w14:textId="77777777">
        <w:trPr>
          <w:trHeight w:val="2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29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Panstrongylus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chinai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2A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Gaussian process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bottom"/>
          </w:tcPr>
          <w:p w14:paraId="081C172B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vegetation index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081C172C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accessibility</w:t>
            </w:r>
          </w:p>
        </w:tc>
      </w:tr>
      <w:tr w:rsidR="00AE31AC" w14:paraId="081C1732" w14:textId="77777777">
        <w:trPr>
          <w:trHeight w:val="2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2E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Panstrongylus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geniculatus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bottom"/>
          </w:tcPr>
          <w:p w14:paraId="081C172F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grassland cover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30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elevation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bottom"/>
          </w:tcPr>
          <w:p w14:paraId="081C1731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vegetation index</w:t>
            </w:r>
          </w:p>
        </w:tc>
      </w:tr>
      <w:tr w:rsidR="00AE31AC" w14:paraId="081C1737" w14:textId="77777777">
        <w:trPr>
          <w:trHeight w:val="2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33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Panstrongylus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lutzi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34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daytime temperature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35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nighttime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temperature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36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diurnal temperature difference</w:t>
            </w:r>
          </w:p>
        </w:tc>
      </w:tr>
      <w:tr w:rsidR="00AE31AC" w14:paraId="081C173C" w14:textId="77777777">
        <w:trPr>
          <w:trHeight w:val="2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38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Panstrongylus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megistus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39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daytime temperature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3A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rainfall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3B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nighttime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temperature</w:t>
            </w:r>
          </w:p>
        </w:tc>
      </w:tr>
      <w:tr w:rsidR="00AE31AC" w14:paraId="081C1741" w14:textId="77777777">
        <w:trPr>
          <w:trHeight w:val="2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3D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Panstrongylus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rufotuberculatus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  <w:vAlign w:val="bottom"/>
          </w:tcPr>
          <w:p w14:paraId="081C173E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evergreen broadleaf forest cover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3F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daytime temperature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081C1740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urbanicity</w:t>
            </w:r>
          </w:p>
        </w:tc>
      </w:tr>
      <w:tr w:rsidR="00AE31AC" w14:paraId="081C1746" w14:textId="77777777">
        <w:trPr>
          <w:trHeight w:val="2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42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Psammolestes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tertius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43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daytime temperature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44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nighttime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temperature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45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diurnal temperature difference</w:t>
            </w:r>
          </w:p>
        </w:tc>
      </w:tr>
      <w:tr w:rsidR="00AE31AC" w14:paraId="081C174B" w14:textId="77777777">
        <w:trPr>
          <w:trHeight w:val="2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47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Rhodnius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nasutus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48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daytime temperature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49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nighttime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temperature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4A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diurnal temperature difference</w:t>
            </w:r>
          </w:p>
        </w:tc>
      </w:tr>
      <w:tr w:rsidR="00AE31AC" w14:paraId="081C1750" w14:textId="77777777">
        <w:trPr>
          <w:trHeight w:val="2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4C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Rhodnius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neglectus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4D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Gaussian process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081C174E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urbanicity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4F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rainfall</w:t>
            </w:r>
          </w:p>
        </w:tc>
      </w:tr>
      <w:tr w:rsidR="00AE31AC" w14:paraId="081C1755" w14:textId="77777777">
        <w:trPr>
          <w:trHeight w:val="2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51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Rhodnius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pallescens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52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daytime temperature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53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nighttime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temperature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54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diurnal temperature difference</w:t>
            </w:r>
          </w:p>
        </w:tc>
      </w:tr>
      <w:tr w:rsidR="00AE31AC" w14:paraId="081C175A" w14:textId="77777777">
        <w:trPr>
          <w:trHeight w:val="2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56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Rhodnius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pictipes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57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daytime temperature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58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rainfall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bottom"/>
          </w:tcPr>
          <w:p w14:paraId="081C1759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evergreen broadleaf forest cover</w:t>
            </w:r>
          </w:p>
        </w:tc>
      </w:tr>
      <w:tr w:rsidR="00AE31AC" w14:paraId="081C175F" w14:textId="77777777">
        <w:trPr>
          <w:trHeight w:val="2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5B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Rhodnius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prolixus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5C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Gaussian process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081C175D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human population count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bottom"/>
          </w:tcPr>
          <w:p w14:paraId="081C175E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cropland / vegetation mosaic</w:t>
            </w:r>
          </w:p>
        </w:tc>
      </w:tr>
      <w:tr w:rsidR="00AE31AC" w14:paraId="081C1764" w14:textId="77777777">
        <w:trPr>
          <w:trHeight w:val="2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60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Rhodnius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robustus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61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Gaussian process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62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nighttime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temperature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bottom"/>
          </w:tcPr>
          <w:p w14:paraId="081C1763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vegetation index</w:t>
            </w:r>
          </w:p>
        </w:tc>
      </w:tr>
      <w:tr w:rsidR="00AE31AC" w14:paraId="081C1769" w14:textId="77777777">
        <w:trPr>
          <w:trHeight w:val="2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65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Triatoma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barberi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66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Gaussian process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67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elevation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68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rainfall</w:t>
            </w:r>
          </w:p>
        </w:tc>
      </w:tr>
      <w:tr w:rsidR="00AE31AC" w14:paraId="081C176E" w14:textId="77777777">
        <w:trPr>
          <w:trHeight w:val="2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6A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Triatoma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brasiliensis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6B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daytime temperature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6C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nighttime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temperature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6D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diurnal temperature difference</w:t>
            </w:r>
          </w:p>
        </w:tc>
      </w:tr>
      <w:tr w:rsidR="00AE31AC" w14:paraId="081C1773" w14:textId="77777777">
        <w:trPr>
          <w:trHeight w:val="2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6F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Triatoma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dimidiata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70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Gaussian process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71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diurnal temperature difference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72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rainfall</w:t>
            </w:r>
          </w:p>
        </w:tc>
      </w:tr>
      <w:tr w:rsidR="00AE31AC" w14:paraId="081C1778" w14:textId="77777777">
        <w:trPr>
          <w:trHeight w:val="2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74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Triatoma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gerstaeckeri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75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daytime temperature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76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diurnal temperature difference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77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nighttime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temperature</w:t>
            </w:r>
          </w:p>
        </w:tc>
      </w:tr>
      <w:tr w:rsidR="00AE31AC" w14:paraId="081C177D" w14:textId="77777777">
        <w:trPr>
          <w:trHeight w:val="2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79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Triatoma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guasayana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7A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daytime temperature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7B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diurnal temperature difference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7C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nighttime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temperature</w:t>
            </w:r>
          </w:p>
        </w:tc>
      </w:tr>
      <w:tr w:rsidR="00AE31AC" w14:paraId="081C1782" w14:textId="77777777">
        <w:trPr>
          <w:trHeight w:val="2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7E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Triatoma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infestans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7F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daytime temperature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bottom"/>
          </w:tcPr>
          <w:p w14:paraId="081C1780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vegetation index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81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rainfall</w:t>
            </w:r>
          </w:p>
        </w:tc>
      </w:tr>
      <w:tr w:rsidR="00AE31AC" w14:paraId="081C1787" w14:textId="77777777">
        <w:trPr>
          <w:trHeight w:val="2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83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Triatoma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longipennis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84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daytime temperature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85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diurnal temperature difference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86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nighttime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temperature</w:t>
            </w:r>
          </w:p>
        </w:tc>
      </w:tr>
      <w:tr w:rsidR="00AE31AC" w14:paraId="081C178C" w14:textId="77777777">
        <w:trPr>
          <w:trHeight w:val="2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88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Triatoma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maculata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bottom"/>
          </w:tcPr>
          <w:p w14:paraId="081C1789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vegetation index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8A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elevation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bottom"/>
          </w:tcPr>
          <w:p w14:paraId="081C178B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savannah cover</w:t>
            </w:r>
          </w:p>
        </w:tc>
      </w:tr>
      <w:tr w:rsidR="00AE31AC" w14:paraId="081C1791" w14:textId="77777777">
        <w:trPr>
          <w:trHeight w:val="2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8D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Triatoma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mazzottii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8E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Gaussian process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081C178F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urbanicity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90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rainfall</w:t>
            </w:r>
          </w:p>
        </w:tc>
      </w:tr>
      <w:tr w:rsidR="00AE31AC" w14:paraId="081C1796" w14:textId="77777777">
        <w:trPr>
          <w:trHeight w:val="2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92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Triatoma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mexicana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93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Gaussian process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94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rainfall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bottom"/>
          </w:tcPr>
          <w:p w14:paraId="081C1795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cropland cover</w:t>
            </w:r>
          </w:p>
        </w:tc>
      </w:tr>
      <w:tr w:rsidR="00AE31AC" w14:paraId="081C179B" w14:textId="77777777">
        <w:trPr>
          <w:trHeight w:val="2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97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Triatoma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pallidipennis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98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daytime temperature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99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nighttime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temperature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9A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diurnal temperature difference</w:t>
            </w:r>
          </w:p>
        </w:tc>
      </w:tr>
      <w:tr w:rsidR="00AE31AC" w14:paraId="081C17A0" w14:textId="77777777">
        <w:trPr>
          <w:trHeight w:val="2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9C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Triatoma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protracta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9D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Gaussian process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9E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nighttime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temperature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bottom"/>
          </w:tcPr>
          <w:p w14:paraId="081C179F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vegetation index</w:t>
            </w:r>
          </w:p>
        </w:tc>
      </w:tr>
      <w:tr w:rsidR="00AE31AC" w14:paraId="081C17A5" w14:textId="77777777">
        <w:trPr>
          <w:trHeight w:val="2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A1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Triatoma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pseudomaculata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A2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Gaussian process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081C17A3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human population count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A4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rainfall</w:t>
            </w:r>
          </w:p>
        </w:tc>
      </w:tr>
      <w:tr w:rsidR="00AE31AC" w14:paraId="081C17AA" w14:textId="77777777">
        <w:trPr>
          <w:trHeight w:val="2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A6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Triatoma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rubida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A7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Gaussian process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A8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elevation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A9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wetness on bare soil</w:t>
            </w:r>
          </w:p>
        </w:tc>
      </w:tr>
      <w:tr w:rsidR="00AE31AC" w14:paraId="081C17AF" w14:textId="77777777">
        <w:trPr>
          <w:trHeight w:val="2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AB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Triatoma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rubrovaria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AC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rainfall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AD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nighttime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temperature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AE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elevation</w:t>
            </w:r>
          </w:p>
        </w:tc>
      </w:tr>
      <w:tr w:rsidR="00AE31AC" w14:paraId="081C17B4" w14:textId="77777777">
        <w:trPr>
          <w:trHeight w:val="2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B0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Triatoma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sanguisuga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B1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daytime temperature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B2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diurnal temperature difference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081C17B3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accessibility</w:t>
            </w:r>
          </w:p>
        </w:tc>
      </w:tr>
      <w:tr w:rsidR="00AE31AC" w14:paraId="081C17B9" w14:textId="77777777">
        <w:trPr>
          <w:trHeight w:val="2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B5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Triatoma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sordida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B6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daytime temperature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B7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nighttime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temperature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B8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surface wetness</w:t>
            </w:r>
          </w:p>
        </w:tc>
      </w:tr>
    </w:tbl>
    <w:p w14:paraId="081C17BA" w14:textId="77777777" w:rsidR="00AE31AC" w:rsidRDefault="00AE31AC">
      <w:pPr>
        <w:spacing w:after="0"/>
      </w:pPr>
    </w:p>
    <w:p w14:paraId="081C17BB" w14:textId="77777777" w:rsidR="00AE31AC" w:rsidRDefault="00241822">
      <w:r>
        <w:br w:type="page"/>
      </w:r>
    </w:p>
    <w:p w14:paraId="081C17BC" w14:textId="4CB35FC0" w:rsidR="00AE31AC" w:rsidRDefault="00241822">
      <w:pPr>
        <w:spacing w:after="0"/>
      </w:pPr>
      <w:r>
        <w:lastRenderedPageBreak/>
        <w:t xml:space="preserve">Table </w:t>
      </w:r>
      <w:r w:rsidR="00CF30AF">
        <w:t>E</w:t>
      </w:r>
      <w:r>
        <w:t xml:space="preserve">: Ranked importance of each variable across all 30 species models. </w:t>
      </w:r>
    </w:p>
    <w:p w14:paraId="081C17BD" w14:textId="77777777" w:rsidR="00AE31AC" w:rsidRDefault="00AE31AC">
      <w:pPr>
        <w:spacing w:after="0"/>
      </w:pPr>
    </w:p>
    <w:tbl>
      <w:tblPr>
        <w:tblStyle w:val="a0"/>
        <w:tblW w:w="5664" w:type="dxa"/>
        <w:tblLayout w:type="fixed"/>
        <w:tblLook w:val="0400" w:firstRow="0" w:lastRow="0" w:firstColumn="0" w:lastColumn="0" w:noHBand="0" w:noVBand="1"/>
      </w:tblPr>
      <w:tblGrid>
        <w:gridCol w:w="3380"/>
        <w:gridCol w:w="2284"/>
      </w:tblGrid>
      <w:tr w:rsidR="00AE31AC" w14:paraId="081C17C0" w14:textId="77777777">
        <w:trPr>
          <w:trHeight w:val="29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BE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b/>
                <w:color w:val="000000"/>
              </w:rPr>
              <w:t>Variable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BF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b/>
                <w:color w:val="000000"/>
              </w:rPr>
              <w:t>Mean contribution</w:t>
            </w:r>
          </w:p>
        </w:tc>
      </w:tr>
      <w:tr w:rsidR="00AE31AC" w14:paraId="081C17C3" w14:textId="77777777">
        <w:trPr>
          <w:trHeight w:val="29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C1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daytime temperature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C2" w14:textId="77777777" w:rsidR="00AE31AC" w:rsidRDefault="0024182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23.06464766</w:t>
            </w:r>
          </w:p>
        </w:tc>
      </w:tr>
      <w:tr w:rsidR="00AE31AC" w14:paraId="081C17C6" w14:textId="77777777">
        <w:trPr>
          <w:trHeight w:val="29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C4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Gaussian process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C5" w14:textId="77777777" w:rsidR="00AE31AC" w:rsidRDefault="0024182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18.68584253</w:t>
            </w:r>
          </w:p>
        </w:tc>
      </w:tr>
      <w:tr w:rsidR="00AE31AC" w14:paraId="081C17C9" w14:textId="77777777">
        <w:trPr>
          <w:trHeight w:val="29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C7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evergreen broadleaf forest cover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C8" w14:textId="77777777" w:rsidR="00AE31AC" w:rsidRDefault="0024182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14.16072354</w:t>
            </w:r>
          </w:p>
        </w:tc>
      </w:tr>
      <w:tr w:rsidR="00AE31AC" w14:paraId="081C17CC" w14:textId="77777777">
        <w:trPr>
          <w:trHeight w:val="29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CA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color w:val="000000"/>
              </w:rPr>
              <w:t>nighttime</w:t>
            </w:r>
            <w:proofErr w:type="spellEnd"/>
            <w:r>
              <w:rPr>
                <w:color w:val="000000"/>
              </w:rPr>
              <w:t xml:space="preserve"> temperature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CB" w14:textId="77777777" w:rsidR="00AE31AC" w:rsidRDefault="0024182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12.80213498</w:t>
            </w:r>
          </w:p>
        </w:tc>
      </w:tr>
      <w:tr w:rsidR="00AE31AC" w14:paraId="081C17CF" w14:textId="77777777">
        <w:trPr>
          <w:trHeight w:val="29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CD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diurnal temperature difference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CE" w14:textId="77777777" w:rsidR="00AE31AC" w:rsidRDefault="0024182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8.417579156</w:t>
            </w:r>
          </w:p>
        </w:tc>
      </w:tr>
      <w:tr w:rsidR="00AE31AC" w14:paraId="081C17D2" w14:textId="77777777">
        <w:trPr>
          <w:trHeight w:val="29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D0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vegetation index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D1" w14:textId="77777777" w:rsidR="00AE31AC" w:rsidRDefault="0024182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6.998388801</w:t>
            </w:r>
          </w:p>
        </w:tc>
      </w:tr>
      <w:tr w:rsidR="00AE31AC" w14:paraId="081C17D5" w14:textId="77777777">
        <w:trPr>
          <w:trHeight w:val="29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D3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rainfall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D4" w14:textId="77777777" w:rsidR="00AE31AC" w:rsidRDefault="0024182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6.771563892</w:t>
            </w:r>
          </w:p>
        </w:tc>
      </w:tr>
      <w:tr w:rsidR="00AE31AC" w14:paraId="081C17D8" w14:textId="77777777">
        <w:trPr>
          <w:trHeight w:val="29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D6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elevation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D7" w14:textId="77777777" w:rsidR="00AE31AC" w:rsidRDefault="0024182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4.091039647</w:t>
            </w:r>
          </w:p>
        </w:tc>
      </w:tr>
      <w:tr w:rsidR="00AE31AC" w14:paraId="081C17DB" w14:textId="77777777">
        <w:trPr>
          <w:trHeight w:val="29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D9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accessibility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DA" w14:textId="77777777" w:rsidR="00AE31AC" w:rsidRDefault="0024182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1.829492743</w:t>
            </w:r>
          </w:p>
        </w:tc>
      </w:tr>
      <w:tr w:rsidR="00AE31AC" w14:paraId="081C17DE" w14:textId="77777777">
        <w:trPr>
          <w:trHeight w:val="29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DC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surface wetness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DD" w14:textId="77777777" w:rsidR="00AE31AC" w:rsidRDefault="0024182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1.640571338</w:t>
            </w:r>
          </w:p>
        </w:tc>
      </w:tr>
      <w:tr w:rsidR="00AE31AC" w14:paraId="081C17E1" w14:textId="77777777">
        <w:trPr>
          <w:trHeight w:val="29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DF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urbanicity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E0" w14:textId="77777777" w:rsidR="00AE31AC" w:rsidRDefault="0024182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1.571928209</w:t>
            </w:r>
          </w:p>
        </w:tc>
      </w:tr>
      <w:tr w:rsidR="00AE31AC" w14:paraId="081C17E4" w14:textId="77777777">
        <w:trPr>
          <w:trHeight w:val="29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E2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color w:val="000000"/>
              </w:rPr>
              <w:t>nighttime</w:t>
            </w:r>
            <w:proofErr w:type="spellEnd"/>
            <w:r>
              <w:rPr>
                <w:color w:val="000000"/>
              </w:rPr>
              <w:t xml:space="preserve"> lights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E3" w14:textId="77777777" w:rsidR="00AE31AC" w:rsidRDefault="0024182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1.568905011</w:t>
            </w:r>
          </w:p>
        </w:tc>
      </w:tr>
      <w:tr w:rsidR="00AE31AC" w14:paraId="081C17E7" w14:textId="77777777">
        <w:trPr>
          <w:trHeight w:val="29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E5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human population count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E6" w14:textId="77777777" w:rsidR="00AE31AC" w:rsidRDefault="0024182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1.294679299</w:t>
            </w:r>
          </w:p>
        </w:tc>
      </w:tr>
      <w:tr w:rsidR="00AE31AC" w14:paraId="081C17EA" w14:textId="77777777">
        <w:trPr>
          <w:trHeight w:val="29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E8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cropland cover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E9" w14:textId="77777777" w:rsidR="00AE31AC" w:rsidRDefault="0024182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1.252210755</w:t>
            </w:r>
          </w:p>
        </w:tc>
      </w:tr>
      <w:tr w:rsidR="00AE31AC" w14:paraId="081C17ED" w14:textId="77777777">
        <w:trPr>
          <w:trHeight w:val="29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EB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savannah cover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EC" w14:textId="77777777" w:rsidR="00AE31AC" w:rsidRDefault="0024182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1.245032532</w:t>
            </w:r>
          </w:p>
        </w:tc>
      </w:tr>
      <w:tr w:rsidR="00AE31AC" w14:paraId="081C17F0" w14:textId="77777777">
        <w:trPr>
          <w:trHeight w:val="29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EE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open shrubland cover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EF" w14:textId="77777777" w:rsidR="00AE31AC" w:rsidRDefault="0024182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1.181525143</w:t>
            </w:r>
          </w:p>
        </w:tc>
      </w:tr>
      <w:tr w:rsidR="00AE31AC" w14:paraId="081C17F3" w14:textId="77777777">
        <w:trPr>
          <w:trHeight w:val="29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F1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grassland cover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F2" w14:textId="77777777" w:rsidR="00AE31AC" w:rsidRDefault="0024182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1.095434709</w:t>
            </w:r>
          </w:p>
        </w:tc>
      </w:tr>
      <w:tr w:rsidR="00AE31AC" w14:paraId="081C17F6" w14:textId="77777777">
        <w:trPr>
          <w:trHeight w:val="29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F4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cropland / vegetation mosaic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F5" w14:textId="77777777" w:rsidR="00AE31AC" w:rsidRDefault="0024182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0.846644409</w:t>
            </w:r>
          </w:p>
        </w:tc>
      </w:tr>
      <w:tr w:rsidR="00AE31AC" w14:paraId="081C17F9" w14:textId="77777777">
        <w:trPr>
          <w:trHeight w:val="29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F7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wetness on bare soil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F8" w14:textId="77777777" w:rsidR="00AE31AC" w:rsidRDefault="0024182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0.647827618</w:t>
            </w:r>
          </w:p>
        </w:tc>
      </w:tr>
      <w:tr w:rsidR="00AE31AC" w14:paraId="081C17FC" w14:textId="77777777">
        <w:trPr>
          <w:trHeight w:val="29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FA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woody savannah cover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FB" w14:textId="77777777" w:rsidR="00AE31AC" w:rsidRDefault="0024182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0.523741237</w:t>
            </w:r>
          </w:p>
        </w:tc>
      </w:tr>
      <w:tr w:rsidR="00AE31AC" w14:paraId="081C17FF" w14:textId="77777777">
        <w:trPr>
          <w:trHeight w:val="29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FD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slope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7FE" w14:textId="77777777" w:rsidR="00AE31AC" w:rsidRDefault="0024182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0.268852137</w:t>
            </w:r>
          </w:p>
        </w:tc>
      </w:tr>
      <w:tr w:rsidR="00AE31AC" w14:paraId="081C1802" w14:textId="77777777">
        <w:trPr>
          <w:trHeight w:val="29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800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wetland cover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801" w14:textId="77777777" w:rsidR="00AE31AC" w:rsidRDefault="0024182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1.53E-04</w:t>
            </w:r>
          </w:p>
        </w:tc>
      </w:tr>
      <w:tr w:rsidR="00AE31AC" w14:paraId="081C1805" w14:textId="77777777">
        <w:trPr>
          <w:trHeight w:val="29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803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deciduous broadleaf forest cover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804" w14:textId="77777777" w:rsidR="00AE31AC" w:rsidRDefault="0024182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1.56E-05</w:t>
            </w:r>
          </w:p>
        </w:tc>
      </w:tr>
      <w:tr w:rsidR="00AE31AC" w14:paraId="081C1808" w14:textId="77777777">
        <w:trPr>
          <w:trHeight w:val="29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806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mixed forest cover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807" w14:textId="77777777" w:rsidR="00AE31AC" w:rsidRDefault="0024182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4.36E-06</w:t>
            </w:r>
          </w:p>
        </w:tc>
      </w:tr>
      <w:tr w:rsidR="00AE31AC" w14:paraId="081C180B" w14:textId="77777777">
        <w:trPr>
          <w:trHeight w:val="29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809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water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80A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not selected</w:t>
            </w:r>
          </w:p>
        </w:tc>
      </w:tr>
      <w:tr w:rsidR="00AE31AC" w14:paraId="081C180E" w14:textId="77777777">
        <w:trPr>
          <w:trHeight w:val="29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80C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evergreen needleleaf forest cover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80D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not selected</w:t>
            </w:r>
          </w:p>
        </w:tc>
      </w:tr>
      <w:tr w:rsidR="00AE31AC" w14:paraId="081C1811" w14:textId="77777777">
        <w:trPr>
          <w:trHeight w:val="29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80F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deciduous needleleaf forest cover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810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not selected</w:t>
            </w:r>
          </w:p>
        </w:tc>
      </w:tr>
      <w:tr w:rsidR="00AE31AC" w14:paraId="081C1814" w14:textId="77777777">
        <w:trPr>
          <w:trHeight w:val="29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812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closed shrubland cover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813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not selected</w:t>
            </w:r>
          </w:p>
        </w:tc>
      </w:tr>
      <w:tr w:rsidR="00AE31AC" w14:paraId="081C1817" w14:textId="77777777">
        <w:trPr>
          <w:trHeight w:val="29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815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urban and built-up area cover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816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not selected</w:t>
            </w:r>
          </w:p>
        </w:tc>
      </w:tr>
      <w:tr w:rsidR="00AE31AC" w14:paraId="081C181A" w14:textId="77777777">
        <w:trPr>
          <w:trHeight w:val="29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818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snow and ice cover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819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not selected</w:t>
            </w:r>
          </w:p>
        </w:tc>
      </w:tr>
      <w:tr w:rsidR="00AE31AC" w14:paraId="081C181D" w14:textId="77777777">
        <w:trPr>
          <w:trHeight w:val="29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81B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barren area cover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81C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not selected</w:t>
            </w:r>
          </w:p>
        </w:tc>
      </w:tr>
      <w:tr w:rsidR="00AE31AC" w14:paraId="081C1820" w14:textId="77777777">
        <w:trPr>
          <w:trHeight w:val="29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81E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unclassified land cover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81F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not selected</w:t>
            </w:r>
          </w:p>
        </w:tc>
      </w:tr>
      <w:tr w:rsidR="00AE31AC" w14:paraId="081C1823" w14:textId="77777777">
        <w:trPr>
          <w:trHeight w:val="29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821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no data on land cover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1822" w14:textId="77777777" w:rsidR="00AE31AC" w:rsidRDefault="0024182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not selected</w:t>
            </w:r>
          </w:p>
        </w:tc>
      </w:tr>
    </w:tbl>
    <w:p w14:paraId="081C1824" w14:textId="77777777" w:rsidR="00AE31AC" w:rsidRDefault="00AE31AC">
      <w:pPr>
        <w:spacing w:after="0"/>
      </w:pPr>
    </w:p>
    <w:p w14:paraId="081C1825" w14:textId="77777777" w:rsidR="00AE31AC" w:rsidRDefault="00241822">
      <w:r>
        <w:br w:type="page"/>
      </w:r>
    </w:p>
    <w:p w14:paraId="081C1826" w14:textId="461CB76E" w:rsidR="00AE31AC" w:rsidRDefault="00241822">
      <w:pPr>
        <w:spacing w:after="0"/>
        <w:rPr>
          <w:rFonts w:ascii="Arial" w:eastAsia="Arial" w:hAnsi="Arial" w:cs="Arial"/>
          <w:color w:val="0B5394"/>
        </w:rPr>
      </w:pPr>
      <w:r>
        <w:lastRenderedPageBreak/>
        <w:t xml:space="preserve">Figure </w:t>
      </w:r>
      <w:r w:rsidR="00CF30AF">
        <w:t>A</w:t>
      </w:r>
      <w:r>
        <w:t xml:space="preserve">: </w:t>
      </w:r>
      <w:r>
        <w:rPr>
          <w:rFonts w:ascii="Arial" w:eastAsia="Arial" w:hAnsi="Arial" w:cs="Arial"/>
          <w:color w:val="000000"/>
        </w:rPr>
        <w:t>Each cell is the relative contribution of a term in the model on the x-axis (term contribution / total contribution of all terms * 100%). The figure must be read row-wise as the total contribution of all t</w:t>
      </w:r>
      <w:r>
        <w:rPr>
          <w:rFonts w:ascii="Arial" w:eastAsia="Arial" w:hAnsi="Arial" w:cs="Arial"/>
          <w:color w:val="000000"/>
        </w:rPr>
        <w:t>erms was calculated on a per species basis. Thus, row-wise contributions of the terms sum up to 100%. We use “term” instead of “variable” or “covariate” here, as one term effect could depend on multiple variables, e.g., for some models, the contribution of</w:t>
      </w:r>
      <w:r>
        <w:rPr>
          <w:rFonts w:ascii="Arial" w:eastAsia="Arial" w:hAnsi="Arial" w:cs="Arial"/>
          <w:color w:val="000000"/>
        </w:rPr>
        <w:t xml:space="preserve"> the variable elevation is defined by the term f(</w:t>
      </w:r>
      <w:proofErr w:type="spellStart"/>
      <w:r>
        <w:rPr>
          <w:rFonts w:ascii="Arial" w:eastAsia="Arial" w:hAnsi="Arial" w:cs="Arial"/>
          <w:color w:val="000000"/>
        </w:rPr>
        <w:t>longitude,latitude</w:t>
      </w:r>
      <w:proofErr w:type="spellEnd"/>
      <w:r>
        <w:rPr>
          <w:rFonts w:ascii="Arial" w:eastAsia="Arial" w:hAnsi="Arial" w:cs="Arial"/>
          <w:color w:val="000000"/>
        </w:rPr>
        <w:t xml:space="preserve">)*elevation. </w:t>
      </w:r>
    </w:p>
    <w:p w14:paraId="081C1827" w14:textId="77777777" w:rsidR="00AE31AC" w:rsidRDefault="00AE31AC">
      <w:pPr>
        <w:spacing w:after="0"/>
      </w:pPr>
    </w:p>
    <w:p w14:paraId="081C1828" w14:textId="77777777" w:rsidR="00AE31AC" w:rsidRDefault="00241822">
      <w:pPr>
        <w:spacing w:after="0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081C1829" wp14:editId="081C182A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645910" cy="5981065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981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E31AC">
      <w:pgSz w:w="11906" w:h="16838"/>
      <w:pgMar w:top="72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1AC"/>
    <w:rsid w:val="00241822"/>
    <w:rsid w:val="00AE31AC"/>
    <w:rsid w:val="00C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C171B"/>
  <w15:docId w15:val="{1804A8DD-C29E-4451-AC1E-DC0D6585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F047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F047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F0479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F0479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F0479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F04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F04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23BPKJQ/dgpid+sr6IVhHijYXQ==">AMUW2mUK82xf+hIxNtp14iMWL+CsCPgBJcdBuNtRZz4uS3eO36KRXdwoSnZHCxC5e1nSA9fG7YHSyTy2YZ7mdLGsIM122YJv1cMz6nJGE5bwJanlx5df/FhpZs9L3gUiRzdpFPbsilMI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cmoyes</dc:creator>
  <cp:lastModifiedBy>Laura Mallard</cp:lastModifiedBy>
  <cp:revision>2</cp:revision>
  <dcterms:created xsi:type="dcterms:W3CDTF">2020-07-28T21:06:00Z</dcterms:created>
  <dcterms:modified xsi:type="dcterms:W3CDTF">2020-07-28T21:06:00Z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