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36" w:rsidRPr="00C9358B" w:rsidRDefault="00712236" w:rsidP="00C9358B">
      <w:pPr>
        <w:spacing w:line="480" w:lineRule="auto"/>
        <w:rPr>
          <w:rFonts w:ascii="Times New Roman" w:hAnsi="Times New Roman" w:cs="Times New Roman"/>
          <w:b/>
          <w:sz w:val="24"/>
          <w:szCs w:val="24"/>
        </w:rPr>
      </w:pPr>
      <w:r w:rsidRPr="00C9358B">
        <w:rPr>
          <w:rFonts w:ascii="Times New Roman" w:hAnsi="Times New Roman" w:cs="Times New Roman"/>
          <w:b/>
          <w:sz w:val="24"/>
          <w:szCs w:val="24"/>
        </w:rPr>
        <w:t>Appendix S2 List of excluded studies with reasons.</w:t>
      </w:r>
    </w:p>
    <w:p w:rsidR="00712236" w:rsidRPr="00C9358B" w:rsidRDefault="00712236" w:rsidP="00C9358B">
      <w:pPr>
        <w:spacing w:line="480" w:lineRule="auto"/>
        <w:rPr>
          <w:rFonts w:ascii="Times New Roman" w:hAnsi="Times New Roman" w:cs="Times New Roman"/>
          <w:sz w:val="24"/>
          <w:szCs w:val="24"/>
        </w:rPr>
      </w:pP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[5]</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[6]</w:t>
      </w:r>
      <w:r w:rsidRPr="00C9358B">
        <w:rPr>
          <w:rFonts w:ascii="Times New Roman" w:hAnsi="Times New Roman" w:cs="Times New Roman"/>
          <w:sz w:val="24"/>
          <w:szCs w:val="24"/>
        </w:rPr>
        <w:t xml:space="preserve"> was not about the relationship between HSP70 and sudden hearing loss.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[7]</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[8]</w:t>
      </w:r>
      <w:r w:rsidRPr="00C9358B">
        <w:rPr>
          <w:rFonts w:ascii="Times New Roman" w:hAnsi="Times New Roman" w:cs="Times New Roman"/>
          <w:sz w:val="24"/>
          <w:szCs w:val="24"/>
        </w:rPr>
        <w:t xml:space="preserve"> focus on the variation of hsp70 in cisplatin-induced hearing loss.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[9]</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autoSpaceDE w:val="0"/>
        <w:autoSpaceDN w:val="0"/>
        <w:adjustRightInd w:val="0"/>
        <w:spacing w:line="480" w:lineRule="auto"/>
        <w:jc w:val="left"/>
        <w:rPr>
          <w:rFonts w:ascii="Times New Roman" w:hAnsi="Times New Roman" w:cs="Times New Roman"/>
          <w:kern w:val="0"/>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[10]</w:t>
      </w:r>
      <w:r w:rsidRPr="00C9358B">
        <w:rPr>
          <w:rFonts w:ascii="Times New Roman" w:hAnsi="Times New Roman" w:cs="Times New Roman"/>
          <w:sz w:val="24"/>
          <w:szCs w:val="24"/>
        </w:rPr>
        <w:t xml:space="preserve"> focus on the relationship between HSP70 and </w:t>
      </w:r>
      <w:r w:rsidRPr="00C9358B">
        <w:rPr>
          <w:rFonts w:ascii="Times New Roman" w:hAnsi="Times New Roman" w:cs="Times New Roman"/>
          <w:kern w:val="0"/>
          <w:sz w:val="24"/>
          <w:szCs w:val="24"/>
        </w:rPr>
        <w:t>systemic lupus erythematosus but NIHL.</w:t>
      </w:r>
    </w:p>
    <w:p w:rsidR="00712236" w:rsidRPr="00C9358B" w:rsidRDefault="00712236" w:rsidP="00C9358B">
      <w:pPr>
        <w:autoSpaceDE w:val="0"/>
        <w:autoSpaceDN w:val="0"/>
        <w:adjustRightInd w:val="0"/>
        <w:spacing w:line="480" w:lineRule="auto"/>
        <w:jc w:val="left"/>
        <w:rPr>
          <w:rFonts w:ascii="Times New Roman" w:hAnsi="Times New Roman" w:cs="Times New Roman"/>
          <w:sz w:val="24"/>
          <w:szCs w:val="24"/>
        </w:rPr>
      </w:pPr>
      <w:r w:rsidRPr="00C9358B">
        <w:rPr>
          <w:rFonts w:ascii="Times New Roman" w:hAnsi="Times New Roman" w:cs="Times New Roman"/>
          <w:kern w:val="0"/>
          <w:sz w:val="24"/>
          <w:szCs w:val="24"/>
        </w:rPr>
        <w:t xml:space="preserve">Article </w:t>
      </w:r>
      <w:r w:rsidRPr="00C9358B">
        <w:rPr>
          <w:rFonts w:ascii="Times New Roman" w:hAnsi="Times New Roman" w:cs="Times New Roman"/>
          <w:noProof/>
          <w:kern w:val="0"/>
          <w:sz w:val="24"/>
          <w:szCs w:val="24"/>
        </w:rPr>
        <w:t>[11]</w:t>
      </w:r>
      <w:r w:rsidRPr="00C9358B">
        <w:rPr>
          <w:rFonts w:ascii="Times New Roman" w:hAnsi="Times New Roman" w:cs="Times New Roman"/>
          <w:kern w:val="0"/>
          <w:sz w:val="24"/>
          <w:szCs w:val="24"/>
        </w:rPr>
        <w:t xml:space="preserve"> </w:t>
      </w:r>
      <w:r w:rsidRPr="00C9358B">
        <w:rPr>
          <w:rFonts w:ascii="Times New Roman" w:hAnsi="Times New Roman" w:cs="Times New Roman"/>
          <w:sz w:val="24"/>
          <w:szCs w:val="24"/>
        </w:rPr>
        <w:t>studied HSP70 gene expression pattern rather than genetic polymorphisms in NIHL.</w:t>
      </w:r>
    </w:p>
    <w:p w:rsidR="00712236" w:rsidRPr="00C9358B" w:rsidRDefault="00712236" w:rsidP="00C9358B">
      <w:pPr>
        <w:autoSpaceDE w:val="0"/>
        <w:autoSpaceDN w:val="0"/>
        <w:adjustRightInd w:val="0"/>
        <w:spacing w:line="480" w:lineRule="auto"/>
        <w:jc w:val="left"/>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[12]</w:t>
      </w:r>
      <w:r w:rsidRPr="00C9358B">
        <w:rPr>
          <w:rFonts w:ascii="Times New Roman" w:hAnsi="Times New Roman" w:cs="Times New Roman"/>
          <w:sz w:val="24"/>
          <w:szCs w:val="24"/>
        </w:rPr>
        <w:t xml:space="preserve"> studied HSP70 gene expression pattern rather than genetic polymorphisms in NIHL.</w:t>
      </w:r>
    </w:p>
    <w:p w:rsidR="00712236" w:rsidRPr="00C9358B" w:rsidRDefault="00712236" w:rsidP="00C9358B">
      <w:pPr>
        <w:autoSpaceDE w:val="0"/>
        <w:autoSpaceDN w:val="0"/>
        <w:adjustRightInd w:val="0"/>
        <w:spacing w:line="480" w:lineRule="auto"/>
        <w:jc w:val="left"/>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[13]</w:t>
      </w:r>
      <w:r w:rsidRPr="00C9358B">
        <w:rPr>
          <w:rFonts w:ascii="Times New Roman" w:hAnsi="Times New Roman" w:cs="Times New Roman"/>
          <w:sz w:val="24"/>
          <w:szCs w:val="24"/>
        </w:rPr>
        <w:t xml:space="preserve"> did not investigate the HSP70 polymorphisms in NIHL.</w:t>
      </w:r>
    </w:p>
    <w:p w:rsidR="00712236" w:rsidRPr="00C9358B" w:rsidRDefault="00712236" w:rsidP="00C9358B">
      <w:pPr>
        <w:autoSpaceDE w:val="0"/>
        <w:autoSpaceDN w:val="0"/>
        <w:adjustRightInd w:val="0"/>
        <w:spacing w:line="480" w:lineRule="auto"/>
        <w:jc w:val="left"/>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[14]</w:t>
      </w:r>
      <w:r w:rsidRPr="00C9358B">
        <w:rPr>
          <w:rFonts w:ascii="Times New Roman" w:hAnsi="Times New Roman" w:cs="Times New Roman"/>
          <w:sz w:val="24"/>
          <w:szCs w:val="24"/>
        </w:rPr>
        <w:t xml:space="preserve"> did not focus on the relationship between HSP70 and NIHL.</w:t>
      </w:r>
    </w:p>
    <w:p w:rsidR="00712236" w:rsidRPr="00C9358B" w:rsidRDefault="00712236" w:rsidP="00C9358B">
      <w:pPr>
        <w:autoSpaceDE w:val="0"/>
        <w:autoSpaceDN w:val="0"/>
        <w:adjustRightInd w:val="0"/>
        <w:spacing w:line="480" w:lineRule="auto"/>
        <w:jc w:val="left"/>
        <w:rPr>
          <w:rFonts w:ascii="Times New Roman" w:hAnsi="Times New Roman" w:cs="Times New Roman"/>
          <w:kern w:val="0"/>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[15]</w:t>
      </w:r>
      <w:r w:rsidRPr="00C9358B">
        <w:rPr>
          <w:rFonts w:ascii="Times New Roman" w:hAnsi="Times New Roman" w:cs="Times New Roman"/>
          <w:sz w:val="24"/>
          <w:szCs w:val="24"/>
        </w:rPr>
        <w:t xml:space="preserve"> did not focus on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[16]</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[17]</w:t>
      </w:r>
      <w:r w:rsidRPr="00C9358B">
        <w:rPr>
          <w:rFonts w:ascii="Times New Roman" w:hAnsi="Times New Roman" w:cs="Times New Roman"/>
          <w:sz w:val="24"/>
          <w:szCs w:val="24"/>
        </w:rPr>
        <w:t xml:space="preserve"> did not focus on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lastRenderedPageBreak/>
        <w:t xml:space="preserve">Article </w:t>
      </w:r>
      <w:r w:rsidRPr="00C9358B">
        <w:rPr>
          <w:rFonts w:ascii="Times New Roman" w:hAnsi="Times New Roman" w:cs="Times New Roman"/>
          <w:noProof/>
          <w:sz w:val="24"/>
          <w:szCs w:val="24"/>
        </w:rPr>
        <w:t>[18]</w:t>
      </w:r>
      <w:r w:rsidRPr="00C9358B">
        <w:rPr>
          <w:rFonts w:ascii="Times New Roman" w:hAnsi="Times New Roman" w:cs="Times New Roman"/>
          <w:sz w:val="24"/>
          <w:szCs w:val="24"/>
        </w:rPr>
        <w:t xml:space="preserve"> did not focus on the polymorphisms of HSP70 gene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[19]</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[20]</w:t>
      </w:r>
      <w:r w:rsidRPr="00C9358B">
        <w:rPr>
          <w:rFonts w:ascii="Times New Roman" w:hAnsi="Times New Roman" w:cs="Times New Roman"/>
          <w:sz w:val="24"/>
          <w:szCs w:val="24"/>
        </w:rPr>
        <w:t xml:space="preserve"> did not investigate the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[21]</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[22]</w:t>
      </w:r>
      <w:r w:rsidRPr="00C9358B">
        <w:rPr>
          <w:rFonts w:ascii="Times New Roman" w:hAnsi="Times New Roman" w:cs="Times New Roman"/>
          <w:sz w:val="24"/>
          <w:szCs w:val="24"/>
        </w:rPr>
        <w:t xml:space="preserve"> did not focus on the polymorphisms of HSP70 gene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[23]</w:t>
      </w:r>
      <w:r w:rsidRPr="00C9358B">
        <w:rPr>
          <w:rFonts w:ascii="Times New Roman" w:hAnsi="Times New Roman" w:cs="Times New Roman"/>
          <w:sz w:val="24"/>
          <w:szCs w:val="24"/>
        </w:rPr>
        <w:t xml:space="preserve"> did not investigate the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[24]</w:t>
      </w:r>
      <w:r w:rsidRPr="00C9358B">
        <w:rPr>
          <w:rFonts w:ascii="Times New Roman" w:hAnsi="Times New Roman" w:cs="Times New Roman"/>
          <w:sz w:val="24"/>
          <w:szCs w:val="24"/>
        </w:rPr>
        <w:t xml:space="preserve"> did not investigate the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[25]</w:t>
      </w:r>
      <w:r w:rsidRPr="00C9358B">
        <w:rPr>
          <w:rFonts w:ascii="Times New Roman" w:hAnsi="Times New Roman" w:cs="Times New Roman"/>
          <w:sz w:val="24"/>
          <w:szCs w:val="24"/>
        </w:rPr>
        <w:t xml:space="preserve"> studied HSP70 gene expression pattern rather than genetic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[26]</w:t>
      </w:r>
      <w:r w:rsidRPr="00C9358B">
        <w:rPr>
          <w:rFonts w:ascii="Times New Roman" w:hAnsi="Times New Roman" w:cs="Times New Roman"/>
          <w:sz w:val="24"/>
          <w:szCs w:val="24"/>
        </w:rPr>
        <w:t xml:space="preserve"> did not focus on the polymorphisms of HSP70 gene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[27]</w:t>
      </w:r>
      <w:r w:rsidRPr="00C9358B">
        <w:rPr>
          <w:rFonts w:ascii="Times New Roman" w:hAnsi="Times New Roman" w:cs="Times New Roman"/>
          <w:sz w:val="24"/>
          <w:szCs w:val="24"/>
        </w:rPr>
        <w:t xml:space="preserve"> focus on the polymorphisms </w:t>
      </w:r>
      <w:r w:rsidRPr="00C9358B">
        <w:rPr>
          <w:rFonts w:ascii="Times New Roman" w:hAnsi="Times New Roman" w:cs="Times New Roman"/>
          <w:kern w:val="0"/>
          <w:sz w:val="24"/>
          <w:szCs w:val="24"/>
        </w:rPr>
        <w:t>associated with K+ Ion Circulation in the Inner Ear</w:t>
      </w:r>
      <w:r w:rsidRPr="00C9358B">
        <w:rPr>
          <w:rFonts w:ascii="Times New Roman" w:hAnsi="Times New Roman" w:cs="Times New Roman"/>
          <w:sz w:val="24"/>
          <w:szCs w:val="24"/>
        </w:rPr>
        <w:t xml:space="preserve"> rather than HSP70 in NIHL subjects.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[28]</w:t>
      </w:r>
      <w:r w:rsidRPr="00C9358B">
        <w:rPr>
          <w:rFonts w:ascii="Times New Roman" w:hAnsi="Times New Roman" w:cs="Times New Roman"/>
          <w:sz w:val="24"/>
          <w:szCs w:val="24"/>
        </w:rPr>
        <w:t xml:space="preserve"> focus on the variation of HSP70 expression but the polymorphisms in HSP70 gene.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[29]</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[30]</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spacing w:line="480" w:lineRule="auto"/>
        <w:rPr>
          <w:rFonts w:ascii="Times New Roman" w:hAnsi="Times New Roman" w:cs="Times New Roman"/>
          <w:kern w:val="0"/>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[31]</w:t>
      </w:r>
      <w:r w:rsidRPr="00C9358B">
        <w:rPr>
          <w:rFonts w:ascii="Times New Roman" w:hAnsi="Times New Roman" w:cs="Times New Roman"/>
          <w:sz w:val="24"/>
          <w:szCs w:val="24"/>
        </w:rPr>
        <w:t xml:space="preserve"> focus on the variation of HSP70 expression in a </w:t>
      </w:r>
      <w:r w:rsidRPr="00C9358B">
        <w:rPr>
          <w:rFonts w:ascii="Times New Roman" w:hAnsi="Times New Roman" w:cs="Times New Roman"/>
          <w:kern w:val="0"/>
          <w:sz w:val="24"/>
          <w:szCs w:val="24"/>
        </w:rPr>
        <w:t>endotoxin-induced cochlea impairment model.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kern w:val="0"/>
          <w:sz w:val="24"/>
          <w:szCs w:val="24"/>
        </w:rPr>
        <w:t xml:space="preserve">Article </w:t>
      </w:r>
      <w:r w:rsidRPr="00C9358B">
        <w:rPr>
          <w:rFonts w:ascii="Times New Roman" w:hAnsi="Times New Roman" w:cs="Times New Roman"/>
          <w:noProof/>
          <w:kern w:val="0"/>
          <w:sz w:val="24"/>
          <w:szCs w:val="24"/>
        </w:rPr>
        <w:t>[32]</w:t>
      </w:r>
      <w:r w:rsidRPr="00C9358B">
        <w:rPr>
          <w:rFonts w:ascii="Times New Roman" w:hAnsi="Times New Roman" w:cs="Times New Roman"/>
          <w:sz w:val="24"/>
          <w:szCs w:val="24"/>
        </w:rPr>
        <w:t xml:space="preserve"> was not a case-control study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[33]</w:t>
      </w:r>
      <w:r w:rsidRPr="00C9358B">
        <w:rPr>
          <w:rFonts w:ascii="Times New Roman" w:hAnsi="Times New Roman" w:cs="Times New Roman"/>
          <w:sz w:val="24"/>
          <w:szCs w:val="24"/>
        </w:rPr>
        <w:t xml:space="preserve"> did not focus on the polymorphisms of HSP70 gene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[34]</w:t>
      </w:r>
      <w:r w:rsidRPr="00C9358B">
        <w:rPr>
          <w:rFonts w:ascii="Times New Roman" w:hAnsi="Times New Roman" w:cs="Times New Roman"/>
          <w:sz w:val="24"/>
          <w:szCs w:val="24"/>
        </w:rPr>
        <w:t xml:space="preserve"> studied HSP70 gene expression pattern rather than genetic polymorphisms in NIHL.</w:t>
      </w:r>
    </w:p>
    <w:p w:rsidR="00712236" w:rsidRPr="00C9358B" w:rsidRDefault="00712236" w:rsidP="00C9358B">
      <w:pPr>
        <w:autoSpaceDE w:val="0"/>
        <w:autoSpaceDN w:val="0"/>
        <w:adjustRightInd w:val="0"/>
        <w:spacing w:line="480" w:lineRule="auto"/>
        <w:jc w:val="left"/>
        <w:rPr>
          <w:rFonts w:ascii="Times New Roman" w:hAnsi="Times New Roman" w:cs="Times New Roman"/>
          <w:kern w:val="0"/>
          <w:sz w:val="24"/>
          <w:szCs w:val="24"/>
        </w:rPr>
      </w:pPr>
      <w:r w:rsidRPr="00C9358B">
        <w:rPr>
          <w:rFonts w:ascii="Times New Roman" w:hAnsi="Times New Roman" w:cs="Times New Roman"/>
          <w:sz w:val="24"/>
          <w:szCs w:val="24"/>
        </w:rPr>
        <w:lastRenderedPageBreak/>
        <w:t xml:space="preserve">Article </w:t>
      </w:r>
      <w:r w:rsidRPr="00C9358B">
        <w:rPr>
          <w:rFonts w:ascii="Times New Roman" w:hAnsi="Times New Roman" w:cs="Times New Roman"/>
          <w:noProof/>
          <w:sz w:val="24"/>
          <w:szCs w:val="24"/>
        </w:rPr>
        <w:t>[35]</w:t>
      </w:r>
      <w:r w:rsidRPr="00C9358B">
        <w:rPr>
          <w:rFonts w:ascii="Times New Roman" w:hAnsi="Times New Roman" w:cs="Times New Roman"/>
          <w:sz w:val="24"/>
          <w:szCs w:val="24"/>
        </w:rPr>
        <w:t xml:space="preserve"> focus on the function of HSP70 in </w:t>
      </w:r>
      <w:r w:rsidRPr="00C9358B">
        <w:rPr>
          <w:rFonts w:ascii="Times New Roman" w:hAnsi="Times New Roman" w:cs="Times New Roman"/>
          <w:kern w:val="0"/>
          <w:sz w:val="24"/>
          <w:szCs w:val="24"/>
        </w:rPr>
        <w:t>gentamicin-induced vestibular hair cell death.</w:t>
      </w:r>
    </w:p>
    <w:p w:rsidR="00712236" w:rsidRPr="00C9358B" w:rsidRDefault="00712236" w:rsidP="00C9358B">
      <w:pPr>
        <w:spacing w:line="480" w:lineRule="auto"/>
        <w:rPr>
          <w:rFonts w:ascii="Times New Roman" w:hAnsi="Times New Roman" w:cs="Times New Roman"/>
          <w:kern w:val="0"/>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[36]</w:t>
      </w:r>
      <w:r w:rsidRPr="00C9358B">
        <w:rPr>
          <w:rFonts w:ascii="Times New Roman" w:hAnsi="Times New Roman" w:cs="Times New Roman"/>
          <w:sz w:val="24"/>
          <w:szCs w:val="24"/>
        </w:rPr>
        <w:t xml:space="preserve"> studied the function of HSP70 in </w:t>
      </w:r>
      <w:r w:rsidRPr="00C9358B">
        <w:rPr>
          <w:rFonts w:ascii="Times New Roman" w:hAnsi="Times New Roman" w:cs="Times New Roman"/>
          <w:kern w:val="0"/>
          <w:sz w:val="24"/>
          <w:szCs w:val="24"/>
        </w:rPr>
        <w:t>aminoglycoside-induced hearing loss.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kern w:val="0"/>
          <w:sz w:val="24"/>
          <w:szCs w:val="24"/>
        </w:rPr>
        <w:t xml:space="preserve">Article </w:t>
      </w:r>
      <w:r w:rsidRPr="00C9358B">
        <w:rPr>
          <w:rFonts w:ascii="Times New Roman" w:hAnsi="Times New Roman" w:cs="Times New Roman"/>
          <w:noProof/>
          <w:kern w:val="0"/>
          <w:sz w:val="24"/>
          <w:szCs w:val="24"/>
        </w:rPr>
        <w:t>[37]</w:t>
      </w:r>
      <w:r w:rsidRPr="00C9358B">
        <w:rPr>
          <w:rFonts w:ascii="Times New Roman" w:hAnsi="Times New Roman" w:cs="Times New Roman"/>
          <w:kern w:val="0"/>
          <w:sz w:val="24"/>
          <w:szCs w:val="24"/>
        </w:rPr>
        <w:t xml:space="preserve"> </w:t>
      </w:r>
      <w:r w:rsidRPr="00C9358B">
        <w:rPr>
          <w:rFonts w:ascii="Times New Roman" w:hAnsi="Times New Roman" w:cs="Times New Roman"/>
          <w:sz w:val="24"/>
          <w:szCs w:val="24"/>
        </w:rPr>
        <w:t>was not a case-control study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[38]</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[39]</w:t>
      </w:r>
      <w:r w:rsidRPr="00C9358B">
        <w:rPr>
          <w:rFonts w:ascii="Times New Roman" w:hAnsi="Times New Roman" w:cs="Times New Roman"/>
          <w:sz w:val="24"/>
          <w:szCs w:val="24"/>
        </w:rPr>
        <w:t xml:space="preserve"> did not focus on the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[40]</w:t>
      </w:r>
      <w:r w:rsidRPr="00C9358B">
        <w:rPr>
          <w:rFonts w:ascii="Times New Roman" w:hAnsi="Times New Roman" w:cs="Times New Roman"/>
          <w:sz w:val="24"/>
          <w:szCs w:val="24"/>
        </w:rPr>
        <w:t xml:space="preserve"> was a review and excluded due to its nature.</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[41]</w:t>
      </w:r>
      <w:r w:rsidRPr="00C9358B">
        <w:rPr>
          <w:rFonts w:ascii="Times New Roman" w:hAnsi="Times New Roman" w:cs="Times New Roman"/>
          <w:sz w:val="24"/>
          <w:szCs w:val="24"/>
        </w:rPr>
        <w:t xml:space="preserve"> was not about the relationship between HSP70 and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[42]</w:t>
      </w:r>
      <w:r w:rsidRPr="00C9358B">
        <w:rPr>
          <w:rFonts w:ascii="Times New Roman" w:hAnsi="Times New Roman" w:cs="Times New Roman"/>
          <w:sz w:val="24"/>
          <w:szCs w:val="24"/>
        </w:rPr>
        <w:t xml:space="preserve"> focus on the variation of HSP70 antibody but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[43]</w:t>
      </w:r>
      <w:r w:rsidRPr="00C9358B">
        <w:rPr>
          <w:rFonts w:ascii="Times New Roman" w:hAnsi="Times New Roman" w:cs="Times New Roman"/>
          <w:sz w:val="24"/>
          <w:szCs w:val="24"/>
        </w:rPr>
        <w:t xml:space="preserve"> focus on the variation of HSP70 antibody but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[44]</w:t>
      </w:r>
      <w:r w:rsidRPr="00C9358B">
        <w:rPr>
          <w:rFonts w:ascii="Times New Roman" w:hAnsi="Times New Roman" w:cs="Times New Roman"/>
          <w:sz w:val="24"/>
          <w:szCs w:val="24"/>
        </w:rPr>
        <w:t xml:space="preserve"> focus on the variation of hsp70 protein expression rather than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Article </w:t>
      </w:r>
      <w:r w:rsidRPr="00C9358B">
        <w:rPr>
          <w:rFonts w:ascii="Times New Roman" w:hAnsi="Times New Roman" w:cs="Times New Roman"/>
          <w:noProof/>
          <w:sz w:val="24"/>
          <w:szCs w:val="24"/>
        </w:rPr>
        <w:t>[45]</w:t>
      </w:r>
      <w:r w:rsidRPr="00C9358B">
        <w:rPr>
          <w:rFonts w:ascii="Times New Roman" w:hAnsi="Times New Roman" w:cs="Times New Roman"/>
          <w:sz w:val="24"/>
          <w:szCs w:val="24"/>
        </w:rPr>
        <w:t xml:space="preserve"> did not focus on the HSP70 polymorphisms in NIHL.</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Paper </w:t>
      </w:r>
      <w:r w:rsidRPr="00C9358B">
        <w:rPr>
          <w:rFonts w:ascii="Times New Roman" w:hAnsi="Times New Roman" w:cs="Times New Roman"/>
          <w:noProof/>
          <w:sz w:val="24"/>
          <w:szCs w:val="24"/>
        </w:rPr>
        <w:t>[46]</w:t>
      </w:r>
      <w:r w:rsidRPr="00C9358B">
        <w:rPr>
          <w:rFonts w:ascii="Times New Roman" w:hAnsi="Times New Roman" w:cs="Times New Roman"/>
          <w:sz w:val="24"/>
          <w:szCs w:val="24"/>
        </w:rPr>
        <w:t xml:space="preserve"> was an ab</w:t>
      </w:r>
      <w:r w:rsidRPr="00C9358B">
        <w:rPr>
          <w:rFonts w:ascii="Times New Roman" w:eastAsia="宋体" w:hAnsi="Times New Roman" w:cs="Times New Roman"/>
          <w:sz w:val="24"/>
          <w:szCs w:val="24"/>
        </w:rPr>
        <w:t>s</w:t>
      </w:r>
      <w:r w:rsidRPr="00C9358B">
        <w:rPr>
          <w:rFonts w:ascii="Times New Roman" w:hAnsi="Times New Roman" w:cs="Times New Roman"/>
          <w:sz w:val="24"/>
          <w:szCs w:val="24"/>
        </w:rPr>
        <w:t>tract and data are insufficient for analysis.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Paper </w:t>
      </w:r>
      <w:r w:rsidRPr="00C9358B">
        <w:rPr>
          <w:rFonts w:ascii="Times New Roman" w:hAnsi="Times New Roman" w:cs="Times New Roman"/>
          <w:noProof/>
          <w:sz w:val="24"/>
          <w:szCs w:val="24"/>
        </w:rPr>
        <w:t>[47]</w:t>
      </w:r>
      <w:r w:rsidRPr="00C9358B">
        <w:rPr>
          <w:rFonts w:ascii="Times New Roman" w:hAnsi="Times New Roman" w:cs="Times New Roman"/>
          <w:sz w:val="24"/>
          <w:szCs w:val="24"/>
        </w:rPr>
        <w:t xml:space="preserve"> was an ab</w:t>
      </w:r>
      <w:r w:rsidRPr="00C9358B">
        <w:rPr>
          <w:rFonts w:ascii="Times New Roman" w:eastAsia="宋体" w:hAnsi="Times New Roman" w:cs="Times New Roman"/>
          <w:sz w:val="24"/>
          <w:szCs w:val="24"/>
        </w:rPr>
        <w:t>s</w:t>
      </w:r>
      <w:r w:rsidRPr="00C9358B">
        <w:rPr>
          <w:rFonts w:ascii="Times New Roman" w:hAnsi="Times New Roman" w:cs="Times New Roman"/>
          <w:sz w:val="24"/>
          <w:szCs w:val="24"/>
        </w:rPr>
        <w:t>tract and data are insufficient for analysis.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Paper </w:t>
      </w:r>
      <w:r w:rsidRPr="00C9358B">
        <w:rPr>
          <w:rFonts w:ascii="Times New Roman" w:hAnsi="Times New Roman" w:cs="Times New Roman"/>
          <w:noProof/>
          <w:sz w:val="24"/>
          <w:szCs w:val="24"/>
        </w:rPr>
        <w:t>[48]</w:t>
      </w:r>
      <w:r w:rsidRPr="00C9358B">
        <w:rPr>
          <w:rFonts w:ascii="Times New Roman" w:hAnsi="Times New Roman" w:cs="Times New Roman"/>
          <w:sz w:val="24"/>
          <w:szCs w:val="24"/>
        </w:rPr>
        <w:t xml:space="preserve"> was an ab</w:t>
      </w:r>
      <w:r w:rsidRPr="00C9358B">
        <w:rPr>
          <w:rFonts w:ascii="Times New Roman" w:eastAsia="宋体" w:hAnsi="Times New Roman" w:cs="Times New Roman"/>
          <w:sz w:val="24"/>
          <w:szCs w:val="24"/>
        </w:rPr>
        <w:t>s</w:t>
      </w:r>
      <w:r w:rsidRPr="00C9358B">
        <w:rPr>
          <w:rFonts w:ascii="Times New Roman" w:hAnsi="Times New Roman" w:cs="Times New Roman"/>
          <w:sz w:val="24"/>
          <w:szCs w:val="24"/>
        </w:rPr>
        <w:t>tract and data are insufficient for analysis.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Paper </w:t>
      </w:r>
      <w:r w:rsidRPr="00C9358B">
        <w:rPr>
          <w:rFonts w:ascii="Times New Roman" w:hAnsi="Times New Roman" w:cs="Times New Roman"/>
          <w:noProof/>
          <w:sz w:val="24"/>
          <w:szCs w:val="24"/>
        </w:rPr>
        <w:t>[49]</w:t>
      </w:r>
      <w:r w:rsidRPr="00C9358B">
        <w:rPr>
          <w:rFonts w:ascii="Times New Roman" w:hAnsi="Times New Roman" w:cs="Times New Roman"/>
          <w:sz w:val="24"/>
          <w:szCs w:val="24"/>
        </w:rPr>
        <w:t xml:space="preserve"> was an ab</w:t>
      </w:r>
      <w:r w:rsidRPr="00C9358B">
        <w:rPr>
          <w:rFonts w:ascii="Times New Roman" w:eastAsia="宋体" w:hAnsi="Times New Roman" w:cs="Times New Roman"/>
          <w:sz w:val="24"/>
          <w:szCs w:val="24"/>
        </w:rPr>
        <w:t>s</w:t>
      </w:r>
      <w:r w:rsidRPr="00C9358B">
        <w:rPr>
          <w:rFonts w:ascii="Times New Roman" w:hAnsi="Times New Roman" w:cs="Times New Roman"/>
          <w:sz w:val="24"/>
          <w:szCs w:val="24"/>
        </w:rPr>
        <w:t>tract and data are insufficient for analysis.</w:t>
      </w:r>
    </w:p>
    <w:p w:rsidR="00712236" w:rsidRPr="00C9358B" w:rsidRDefault="00712236" w:rsidP="00C9358B">
      <w:pPr>
        <w:spacing w:line="480" w:lineRule="auto"/>
        <w:rPr>
          <w:rFonts w:ascii="Times New Roman" w:hAnsi="Times New Roman" w:cs="Times New Roman"/>
          <w:sz w:val="24"/>
          <w:szCs w:val="24"/>
        </w:rPr>
      </w:pPr>
      <w:r w:rsidRPr="00C9358B">
        <w:rPr>
          <w:rFonts w:ascii="Times New Roman" w:hAnsi="Times New Roman" w:cs="Times New Roman"/>
          <w:sz w:val="24"/>
          <w:szCs w:val="24"/>
        </w:rPr>
        <w:t xml:space="preserve">Paper </w:t>
      </w:r>
      <w:r w:rsidRPr="00C9358B">
        <w:rPr>
          <w:rFonts w:ascii="Times New Roman" w:hAnsi="Times New Roman" w:cs="Times New Roman"/>
          <w:noProof/>
          <w:sz w:val="24"/>
          <w:szCs w:val="24"/>
        </w:rPr>
        <w:t>[50]</w:t>
      </w:r>
      <w:r w:rsidRPr="00C9358B">
        <w:rPr>
          <w:rFonts w:ascii="Times New Roman" w:hAnsi="Times New Roman" w:cs="Times New Roman"/>
          <w:sz w:val="24"/>
          <w:szCs w:val="24"/>
        </w:rPr>
        <w:t xml:space="preserve"> was an ab</w:t>
      </w:r>
      <w:r w:rsidRPr="00C9358B">
        <w:rPr>
          <w:rFonts w:ascii="Times New Roman" w:eastAsia="宋体" w:hAnsi="Times New Roman" w:cs="Times New Roman"/>
          <w:sz w:val="24"/>
          <w:szCs w:val="24"/>
        </w:rPr>
        <w:t>s</w:t>
      </w:r>
      <w:r w:rsidRPr="00C9358B">
        <w:rPr>
          <w:rFonts w:ascii="Times New Roman" w:hAnsi="Times New Roman" w:cs="Times New Roman"/>
          <w:sz w:val="24"/>
          <w:szCs w:val="24"/>
        </w:rPr>
        <w:t xml:space="preserve">tract of a </w:t>
      </w:r>
      <w:bookmarkStart w:id="0" w:name="OLE_LINK1"/>
      <w:r w:rsidRPr="00C9358B">
        <w:rPr>
          <w:rFonts w:ascii="Times New Roman" w:hAnsi="Times New Roman" w:cs="Times New Roman"/>
          <w:sz w:val="24"/>
          <w:szCs w:val="24"/>
        </w:rPr>
        <w:t>poster</w:t>
      </w:r>
      <w:bookmarkEnd w:id="0"/>
      <w:r w:rsidRPr="00C9358B">
        <w:rPr>
          <w:rFonts w:ascii="Times New Roman" w:hAnsi="Times New Roman" w:cs="Times New Roman"/>
          <w:sz w:val="24"/>
          <w:szCs w:val="24"/>
        </w:rPr>
        <w:t xml:space="preserve"> and data are insufficient for analysis.</w:t>
      </w:r>
    </w:p>
    <w:p w:rsidR="00712236" w:rsidRPr="00C9358B" w:rsidRDefault="00712236" w:rsidP="00C9358B">
      <w:pPr>
        <w:spacing w:line="480" w:lineRule="auto"/>
        <w:rPr>
          <w:rFonts w:ascii="Times New Roman" w:hAnsi="Times New Roman" w:cs="Times New Roman"/>
          <w:sz w:val="24"/>
          <w:szCs w:val="24"/>
        </w:rPr>
      </w:pPr>
    </w:p>
    <w:p w:rsidR="00712236" w:rsidRPr="00C9358B" w:rsidRDefault="00712236" w:rsidP="00C9358B">
      <w:pPr>
        <w:spacing w:line="480" w:lineRule="auto"/>
        <w:rPr>
          <w:rFonts w:ascii="Times New Roman" w:hAnsi="Times New Roman" w:cs="Times New Roman"/>
          <w:sz w:val="24"/>
          <w:szCs w:val="24"/>
        </w:rPr>
      </w:pP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lastRenderedPageBreak/>
        <w:t>1.</w:t>
      </w:r>
      <w:r w:rsidRPr="00C9358B">
        <w:rPr>
          <w:rFonts w:ascii="Times New Roman" w:hAnsi="Times New Roman" w:cs="Times New Roman"/>
          <w:sz w:val="24"/>
          <w:szCs w:val="24"/>
        </w:rPr>
        <w:tab/>
        <w:t>Altschuler RA, Fairfield D, Cho Y, Leonova E, Benjamin IJ, Miller JM, et al. Stress pathways in the rat cochlea and potential for protection from acquired deafness. Audiology &amp; neuro-otology. 2002;7(3):152-6. doi: 58301. PubMed PMID: 12053136.</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2.</w:t>
      </w:r>
      <w:r w:rsidRPr="00C9358B">
        <w:rPr>
          <w:rFonts w:ascii="Times New Roman" w:hAnsi="Times New Roman" w:cs="Times New Roman"/>
          <w:sz w:val="24"/>
          <w:szCs w:val="24"/>
        </w:rPr>
        <w:tab/>
        <w:t>Asoh S, Ohta S. PTD-mediated delivery of anti-cell death proteins/peptides and therapeutic enzymes. Adv Drug Deliv Rev. 2008;60(4-5):499-516. doi: 10.1016/j.addr.2007.09.011. PubMed PMID: 18093693.</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3.</w:t>
      </w:r>
      <w:r w:rsidRPr="00C9358B">
        <w:rPr>
          <w:rFonts w:ascii="Times New Roman" w:hAnsi="Times New Roman" w:cs="Times New Roman"/>
          <w:sz w:val="24"/>
          <w:szCs w:val="24"/>
        </w:rPr>
        <w:tab/>
        <w:t>Barden EK, Rellinger EA, Ortmann AJ, Ohlemiller KK. Inheritance Patterns of Noise Vulnerability and "Protectability" in (C57BL/6J x CBA/J) Fl Hybrid Mice. Journal of the American Academy of Audiology. 2012;23(5):332-40.</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4.</w:t>
      </w:r>
      <w:r w:rsidRPr="00C9358B">
        <w:rPr>
          <w:rFonts w:ascii="Times New Roman" w:hAnsi="Times New Roman" w:cs="Times New Roman"/>
          <w:sz w:val="24"/>
          <w:szCs w:val="24"/>
        </w:rPr>
        <w:tab/>
        <w:t>Canlon B, Meltser I, Johansson P, Tahera Y. Glucocorticoid receptors modulate auditory sensitivity to acoustic trauma. Hearing research. 2007;226(1-2):61-9. doi: 10.1016/j.heares.2006.05.009. PubMed PMID: 16843624.</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5.</w:t>
      </w:r>
      <w:r w:rsidRPr="00C9358B">
        <w:rPr>
          <w:rFonts w:ascii="Times New Roman" w:hAnsi="Times New Roman" w:cs="Times New Roman"/>
          <w:sz w:val="24"/>
          <w:szCs w:val="24"/>
        </w:rPr>
        <w:tab/>
        <w:t>Charitidi K, Meltser I, Tahera Y, Canlon B. Functional responses of estrogen receptors in the male and female auditory system. Hearing research. 2009;252(1-2):71-8. doi: 10.1016/j.heares.2008.12.009. PubMed PMID: 19450435.</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6.</w:t>
      </w:r>
      <w:r w:rsidRPr="00C9358B">
        <w:rPr>
          <w:rFonts w:ascii="Times New Roman" w:hAnsi="Times New Roman" w:cs="Times New Roman"/>
          <w:sz w:val="24"/>
          <w:szCs w:val="24"/>
        </w:rPr>
        <w:tab/>
        <w:t>Chien CY, Chang NC, Tai SY, Wang LF, Wu MT, Ho KY. Heat shock protein 70 gene polymorphisms in sudden sensorineural hearing loss. Audiology &amp; neuro-otology. 2012;17(6):381-5. doi: 10.1159/000341815. PubMed PMID: 22922572.</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7.</w:t>
      </w:r>
      <w:r w:rsidRPr="00C9358B">
        <w:rPr>
          <w:rFonts w:ascii="Times New Roman" w:hAnsi="Times New Roman" w:cs="Times New Roman"/>
          <w:sz w:val="24"/>
          <w:szCs w:val="24"/>
        </w:rPr>
        <w:tab/>
        <w:t xml:space="preserve">Clifford RE, Hoffer M, Rogers R. The Genomic Basis of Noise-induced Hearing </w:t>
      </w:r>
      <w:r w:rsidRPr="00C9358B">
        <w:rPr>
          <w:rFonts w:ascii="Times New Roman" w:hAnsi="Times New Roman" w:cs="Times New Roman"/>
          <w:sz w:val="24"/>
          <w:szCs w:val="24"/>
        </w:rPr>
        <w:lastRenderedPageBreak/>
        <w:t>Loss: A Literature Review Organized by Cellular Pathways. Otology &amp; neurotology : official publication of the American Otological Society, American Neurotology Society [and] European Academy of Otology and Neurotology. 2016;37(8):e309-16. doi: 10.1097/MAO.0000000000001073. PubMed PMID: 27518140.</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8.</w:t>
      </w:r>
      <w:r w:rsidRPr="00C9358B">
        <w:rPr>
          <w:rFonts w:ascii="Times New Roman" w:hAnsi="Times New Roman" w:cs="Times New Roman"/>
          <w:sz w:val="24"/>
          <w:szCs w:val="24"/>
        </w:rPr>
        <w:tab/>
        <w:t>Coling DE, Ding D, Young R, Lis M, Stofko E, Blumenthal KM, et al. Proteomic analysis of cisplatin-induced cochlear damage: methods and early changes in protein expression. Hearing research. 2007;226(1-2):140-56. doi: 10.1016/j.heares.2006.12.017. PubMed PMID: 17321087.</w:t>
      </w:r>
    </w:p>
    <w:p w:rsidR="00712236" w:rsidRPr="00C9358B" w:rsidRDefault="00712236" w:rsidP="00C457FF">
      <w:pPr>
        <w:pStyle w:val="EndNoteBibliography"/>
        <w:spacing w:line="480" w:lineRule="auto"/>
        <w:ind w:leftChars="57" w:left="360" w:hangingChars="100" w:hanging="240"/>
        <w:rPr>
          <w:rFonts w:ascii="Times New Roman" w:hAnsi="Times New Roman" w:cs="Times New Roman"/>
          <w:sz w:val="24"/>
          <w:szCs w:val="24"/>
        </w:rPr>
      </w:pPr>
      <w:r w:rsidRPr="00C9358B">
        <w:rPr>
          <w:rFonts w:ascii="Times New Roman" w:hAnsi="Times New Roman" w:cs="Times New Roman"/>
          <w:sz w:val="24"/>
          <w:szCs w:val="24"/>
        </w:rPr>
        <w:t>9.</w:t>
      </w:r>
      <w:r w:rsidRPr="00C9358B">
        <w:rPr>
          <w:rFonts w:ascii="Times New Roman" w:hAnsi="Times New Roman" w:cs="Times New Roman"/>
          <w:sz w:val="24"/>
          <w:szCs w:val="24"/>
        </w:rPr>
        <w:tab/>
        <w:t>Fetoni AR, Picciotti PM, Paludetti G, Troiani D. Pathogenesis of presbycusis in animal models: a review. Exp Gerontol. 2011;46(6):413-25. doi: 10.1016/j.exger.2010.12.003. PubMed PMID: 21211561.</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10.</w:t>
      </w:r>
      <w:r w:rsidRPr="00C9358B">
        <w:rPr>
          <w:rFonts w:ascii="Times New Roman" w:hAnsi="Times New Roman" w:cs="Times New Roman"/>
          <w:sz w:val="24"/>
          <w:szCs w:val="24"/>
        </w:rPr>
        <w:tab/>
        <w:t>Furnrohr BG, Wach S, Kelly JA, Haslbeck M, Weber CK, Stach CM, et al. Polymorphisms in the Hsp70 gene locus are genetically associated with systemic lupus erythematosus. Ann Rheum Dis. 2010;69(11):1983-9. doi: 10.1136/ard.2009.122630. PubMed PMID: 204</w:t>
      </w:r>
      <w:r w:rsidR="00C457FF">
        <w:rPr>
          <w:rFonts w:ascii="Times New Roman" w:hAnsi="Times New Roman" w:cs="Times New Roman"/>
          <w:sz w:val="24"/>
          <w:szCs w:val="24"/>
        </w:rPr>
        <w:t xml:space="preserve">98198; PubMed Central PMCID: </w:t>
      </w:r>
      <w:r w:rsidRPr="00C9358B">
        <w:rPr>
          <w:rFonts w:ascii="Times New Roman" w:hAnsi="Times New Roman" w:cs="Times New Roman"/>
          <w:sz w:val="24"/>
          <w:szCs w:val="24"/>
        </w:rPr>
        <w:t>PMC3002760.</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11.</w:t>
      </w:r>
      <w:r w:rsidRPr="00C9358B">
        <w:rPr>
          <w:rFonts w:ascii="Times New Roman" w:hAnsi="Times New Roman" w:cs="Times New Roman"/>
          <w:sz w:val="24"/>
          <w:szCs w:val="24"/>
        </w:rPr>
        <w:tab/>
        <w:t>Gong TW, Fairfield DA, Fullarton L, Dolan DF, Altschuler RA, Kohrman DC, et al. Induction of heat shock proteins by hyperthermia and noise overstimulation in hsf1 -/- mice. Journal of the Association for Research in Otolaryngology : JARO. 2012;13(1):29-37. doi: 10.1007/s10162-011-0289-9. PubMed PMID: 21932106; PubMed Centra</w:t>
      </w:r>
      <w:r w:rsidR="00C457FF">
        <w:rPr>
          <w:rFonts w:ascii="Times New Roman" w:hAnsi="Times New Roman" w:cs="Times New Roman"/>
          <w:sz w:val="24"/>
          <w:szCs w:val="24"/>
        </w:rPr>
        <w:t xml:space="preserve">l PMCID: </w:t>
      </w:r>
      <w:r w:rsidRPr="00C9358B">
        <w:rPr>
          <w:rFonts w:ascii="Times New Roman" w:hAnsi="Times New Roman" w:cs="Times New Roman"/>
          <w:sz w:val="24"/>
          <w:szCs w:val="24"/>
        </w:rPr>
        <w:t>PMC3254713.</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lastRenderedPageBreak/>
        <w:t>12.</w:t>
      </w:r>
      <w:r w:rsidRPr="00C9358B">
        <w:rPr>
          <w:rFonts w:ascii="Times New Roman" w:hAnsi="Times New Roman" w:cs="Times New Roman"/>
          <w:sz w:val="24"/>
          <w:szCs w:val="24"/>
        </w:rPr>
        <w:tab/>
        <w:t>Gratton MA, Eleftheriadou A, Garcia J, Verduzco E, Martin GK, Lonsbury-Martin BL, et al. Noise-induced changes in gene expression in the cochleae of mice differing in their susceptibility to noise damage. Hearing research. 2011;277(1-2):211-26. doi: 10.1016/j.heares.2010.12.014. PubMed PMID: 211</w:t>
      </w:r>
      <w:r w:rsidR="00C457FF">
        <w:rPr>
          <w:rFonts w:ascii="Times New Roman" w:hAnsi="Times New Roman" w:cs="Times New Roman"/>
          <w:sz w:val="24"/>
          <w:szCs w:val="24"/>
        </w:rPr>
        <w:t xml:space="preserve">87137; PubMed Central PMCID: </w:t>
      </w:r>
      <w:r w:rsidRPr="00C9358B">
        <w:rPr>
          <w:rFonts w:ascii="Times New Roman" w:hAnsi="Times New Roman" w:cs="Times New Roman"/>
          <w:sz w:val="24"/>
          <w:szCs w:val="24"/>
        </w:rPr>
        <w:t>PMC3098916.</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13.</w:t>
      </w:r>
      <w:r w:rsidRPr="00C9358B">
        <w:rPr>
          <w:rFonts w:ascii="Times New Roman" w:hAnsi="Times New Roman" w:cs="Times New Roman"/>
          <w:sz w:val="24"/>
          <w:szCs w:val="24"/>
        </w:rPr>
        <w:tab/>
        <w:t>Grondin Y, Bortoni ME, Sepulveda R, Ghelfi E, Bartos A, Cotanche D, et al. Genetic Polymorphisms Associated with Hearing Threshold Shift in Subjects during First Encounter with Occupational Impulse Noise. PloS one. 2015;10(6):e0130827. Epub 2015/06/30. doi: 10.1371/journal.pone.0130827. PubMed PMID: 261</w:t>
      </w:r>
      <w:r w:rsidR="00C457FF">
        <w:rPr>
          <w:rFonts w:ascii="Times New Roman" w:hAnsi="Times New Roman" w:cs="Times New Roman"/>
          <w:sz w:val="24"/>
          <w:szCs w:val="24"/>
        </w:rPr>
        <w:t xml:space="preserve">21033; PubMed Central PMCID: </w:t>
      </w:r>
      <w:r w:rsidRPr="00C9358B">
        <w:rPr>
          <w:rFonts w:ascii="Times New Roman" w:hAnsi="Times New Roman" w:cs="Times New Roman"/>
          <w:sz w:val="24"/>
          <w:szCs w:val="24"/>
        </w:rPr>
        <w:t>PMC4488244.</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14.</w:t>
      </w:r>
      <w:r w:rsidRPr="00C9358B">
        <w:rPr>
          <w:rFonts w:ascii="Times New Roman" w:hAnsi="Times New Roman" w:cs="Times New Roman"/>
          <w:sz w:val="24"/>
          <w:szCs w:val="24"/>
        </w:rPr>
        <w:tab/>
        <w:t>Gross M, Eliashar R, Ben-Yaakov A, Ulmansky R, Elidan J. Prevalence and clinical significance of anticardiolipin, anti-beta(2)-glycoprotein-1, and anti-heat shock protein-70 autoantibodies in sudden sensorineural hearing loss. Audiology and Neuro-Otology. 2008;13(4):231-8. doi: 10.1159/000115432. WOS:000255895800003.</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15.</w:t>
      </w:r>
      <w:r w:rsidRPr="00C9358B">
        <w:rPr>
          <w:rFonts w:ascii="Times New Roman" w:hAnsi="Times New Roman" w:cs="Times New Roman"/>
          <w:sz w:val="24"/>
          <w:szCs w:val="24"/>
        </w:rPr>
        <w:tab/>
        <w:t>Kim YH, Song JJ, Kim YC, Park KT, Lee JH, Choi JM, et al. Geranylgeranylacetone ameliorates acute cochlear damage caused by 3-nitropropionic acid. Neurotoxicology. 2010;31(3):317-25. doi: 10.1016/j.neuro.2010.03.001. PubMed PMID: 20226206.</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16.</w:t>
      </w:r>
      <w:r w:rsidRPr="00C9358B">
        <w:rPr>
          <w:rFonts w:ascii="Times New Roman" w:hAnsi="Times New Roman" w:cs="Times New Roman"/>
          <w:sz w:val="24"/>
          <w:szCs w:val="24"/>
        </w:rPr>
        <w:tab/>
        <w:t>Konings A, Van Laer L, Van Camp G. Genetic studies on noise-induced hearing loss: a review. Ear Hear. 2009;30(2):151-9. doi: 10.1097/AUD.0b013e3181987080. PubMed PMID: 19194285.</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lastRenderedPageBreak/>
        <w:t>17.</w:t>
      </w:r>
      <w:r w:rsidRPr="00C9358B">
        <w:rPr>
          <w:rFonts w:ascii="Times New Roman" w:hAnsi="Times New Roman" w:cs="Times New Roman"/>
          <w:sz w:val="24"/>
          <w:szCs w:val="24"/>
        </w:rPr>
        <w:tab/>
        <w:t>Kowalski TJ, Pawelczyk M, Rajkowska E, Dudarewicz A, Sliwinska-Kowalska M. Genetic variants of CDH23 associated with noise-induced hearing loss. Otology &amp; neurotology : official publication of the American Otological Society, American Neurotology Society [and] European Academy of Otology and Neurotology. 2014;35(2):358-65. doi: 10.1097/MAO.0b013e3182a00332. PubMed PMID: 24448297.</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18.</w:t>
      </w:r>
      <w:r w:rsidRPr="00C9358B">
        <w:rPr>
          <w:rFonts w:ascii="Times New Roman" w:hAnsi="Times New Roman" w:cs="Times New Roman"/>
          <w:sz w:val="24"/>
          <w:szCs w:val="24"/>
        </w:rPr>
        <w:tab/>
        <w:t>Maeda Y, Fukushima K, Kariya S, Orita Y, Nishizaki K. Dexamethasone Regulates Cochlear Expression of Deafness-associated Proteins Myelin Protein Zero and Heat Shock Protein 70, as Revealed by iTRAQ Proteomics. Otology &amp; neurotology : official publication of the American Otological Society, American Neurotology Society [and] European Academy of Otology and Neurotology. 2015;36(7):1255-65. Epub 2015/04/02. doi: 10.1097/MAO.0000000000000748. PubMed PMID: 25830874.</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19.</w:t>
      </w:r>
      <w:r w:rsidRPr="00C9358B">
        <w:rPr>
          <w:rFonts w:ascii="Times New Roman" w:hAnsi="Times New Roman" w:cs="Times New Roman"/>
          <w:sz w:val="24"/>
          <w:szCs w:val="24"/>
        </w:rPr>
        <w:tab/>
        <w:t>Mastorci F, Vicentini M, Viltart O, Manghi M, Graiani G, Quaini F, et al. Long-term effects of prenatal stress: changes in adult cardiovascular regulation and sensitivity to stress. Neurosci Biobehav Rev. 2009;33(2):191-203. doi: 10.1016/j.neubiorev.2008.08.001. PubMed PMID: 18771688.</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20.</w:t>
      </w:r>
      <w:r w:rsidRPr="00C9358B">
        <w:rPr>
          <w:rFonts w:ascii="Times New Roman" w:hAnsi="Times New Roman" w:cs="Times New Roman"/>
          <w:sz w:val="24"/>
          <w:szCs w:val="24"/>
        </w:rPr>
        <w:tab/>
        <w:t>May LA, Kramarenko, II, Brandon CS, Voelkel-Johnson C, Roy S, Truong K, et al. Inner ear supporting cells protect hair cells by secreting HSP70. J Clin Invest. 2013;123(8):3577-87. doi: 10.1172/JCI68480. PubMed PMID: 238</w:t>
      </w:r>
      <w:r w:rsidR="00C457FF">
        <w:rPr>
          <w:rFonts w:ascii="Times New Roman" w:hAnsi="Times New Roman" w:cs="Times New Roman"/>
          <w:sz w:val="24"/>
          <w:szCs w:val="24"/>
        </w:rPr>
        <w:t xml:space="preserve">63716; PubMed Central PMCID: </w:t>
      </w:r>
      <w:r w:rsidRPr="00C9358B">
        <w:rPr>
          <w:rFonts w:ascii="Times New Roman" w:hAnsi="Times New Roman" w:cs="Times New Roman"/>
          <w:sz w:val="24"/>
          <w:szCs w:val="24"/>
        </w:rPr>
        <w:t>PMC3967657.</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21.</w:t>
      </w:r>
      <w:r w:rsidRPr="00C9358B">
        <w:rPr>
          <w:rFonts w:ascii="Times New Roman" w:hAnsi="Times New Roman" w:cs="Times New Roman"/>
          <w:sz w:val="24"/>
          <w:szCs w:val="24"/>
        </w:rPr>
        <w:tab/>
        <w:t xml:space="preserve">Mijovic T, Zeitouni A, Colmegna I. Autoimmune sensorineural hearing loss: the </w:t>
      </w:r>
      <w:r w:rsidRPr="00C9358B">
        <w:rPr>
          <w:rFonts w:ascii="Times New Roman" w:hAnsi="Times New Roman" w:cs="Times New Roman"/>
          <w:sz w:val="24"/>
          <w:szCs w:val="24"/>
        </w:rPr>
        <w:lastRenderedPageBreak/>
        <w:t>otology-rheumatology interface. Rheumatology (Oxford). 2013;52(5):780-9. doi: 10.1093/rheumatology/ket009. PubMed PMID: 23436581.</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22.</w:t>
      </w:r>
      <w:r w:rsidRPr="00C9358B">
        <w:rPr>
          <w:rFonts w:ascii="Times New Roman" w:hAnsi="Times New Roman" w:cs="Times New Roman"/>
          <w:sz w:val="24"/>
          <w:szCs w:val="24"/>
        </w:rPr>
        <w:tab/>
        <w:t>Mikuriya T, Sugahara K, Takemoto T, Tanaka K, Takeno K, Shimogori H, et al. Geranylgeranylacetone, a heat shock protein inducer, prevents acoustic injury in the guinea pig. Brain research. 2005;1065(1-2):107-14. Epub 2005/11/29. doi: 10.1016/j.brainres.2005.10.045. PubMed PMID: 16309629.</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23.</w:t>
      </w:r>
      <w:r w:rsidRPr="00C9358B">
        <w:rPr>
          <w:rFonts w:ascii="Times New Roman" w:hAnsi="Times New Roman" w:cs="Times New Roman"/>
          <w:sz w:val="24"/>
          <w:szCs w:val="24"/>
        </w:rPr>
        <w:tab/>
        <w:t>Momin SR, Melki SJ, Obokhare JO, Fares SA, Semaan MT, Megerian CA. Hearing preservation in Guinea pigs with long-standing endolymphatic hydrops. Otology &amp; neurotology : official publication of the American Otological Society, American Neurotology Society [and] European Academy of Otology and Neurotology. 2011;32(9):1583-9. doi: 10.1097/MAO.0b013e3182382a64. PubMed PMID: 220</w:t>
      </w:r>
      <w:r w:rsidR="00C457FF">
        <w:rPr>
          <w:rFonts w:ascii="Times New Roman" w:hAnsi="Times New Roman" w:cs="Times New Roman"/>
          <w:sz w:val="24"/>
          <w:szCs w:val="24"/>
        </w:rPr>
        <w:t xml:space="preserve">15942; PubMed Central PMCID: </w:t>
      </w:r>
      <w:r w:rsidRPr="00C9358B">
        <w:rPr>
          <w:rFonts w:ascii="Times New Roman" w:hAnsi="Times New Roman" w:cs="Times New Roman"/>
          <w:sz w:val="24"/>
          <w:szCs w:val="24"/>
        </w:rPr>
        <w:t>PMC3220888.</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24.</w:t>
      </w:r>
      <w:r w:rsidRPr="00C9358B">
        <w:rPr>
          <w:rFonts w:ascii="Times New Roman" w:hAnsi="Times New Roman" w:cs="Times New Roman"/>
          <w:sz w:val="24"/>
          <w:szCs w:val="24"/>
        </w:rPr>
        <w:tab/>
        <w:t>Monzack EL, Cunningham LL. Lead roles for supporting actors: critical functions of inner ear supporting cells. Hearing research. 2013;303(C):20-9. doi: 10.1016/j.heares.2013.01.008. PubMed PMID: 233</w:t>
      </w:r>
      <w:r w:rsidR="00C457FF">
        <w:rPr>
          <w:rFonts w:ascii="Times New Roman" w:hAnsi="Times New Roman" w:cs="Times New Roman"/>
          <w:sz w:val="24"/>
          <w:szCs w:val="24"/>
        </w:rPr>
        <w:t xml:space="preserve">47917; PubMed Central PMCID: </w:t>
      </w:r>
      <w:r w:rsidRPr="00C9358B">
        <w:rPr>
          <w:rFonts w:ascii="Times New Roman" w:hAnsi="Times New Roman" w:cs="Times New Roman"/>
          <w:sz w:val="24"/>
          <w:szCs w:val="24"/>
        </w:rPr>
        <w:t>PMC3648608.</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25.</w:t>
      </w:r>
      <w:r w:rsidRPr="00C9358B">
        <w:rPr>
          <w:rFonts w:ascii="Times New Roman" w:hAnsi="Times New Roman" w:cs="Times New Roman"/>
          <w:sz w:val="24"/>
          <w:szCs w:val="24"/>
        </w:rPr>
        <w:tab/>
        <w:t>Ohlemiller KK. Recent findings and emerging questions in cochlear noise injury. Hearing research. 2008;245(1-2):5-17. doi: 10.1016/j.heares.2008.08.007. PubMed PMID: 187</w:t>
      </w:r>
      <w:r w:rsidR="00C457FF">
        <w:rPr>
          <w:rFonts w:ascii="Times New Roman" w:hAnsi="Times New Roman" w:cs="Times New Roman"/>
          <w:sz w:val="24"/>
          <w:szCs w:val="24"/>
        </w:rPr>
        <w:t xml:space="preserve">90034; PubMed Central PMCID: </w:t>
      </w:r>
      <w:r w:rsidRPr="00C9358B">
        <w:rPr>
          <w:rFonts w:ascii="Times New Roman" w:hAnsi="Times New Roman" w:cs="Times New Roman"/>
          <w:sz w:val="24"/>
          <w:szCs w:val="24"/>
        </w:rPr>
        <w:t>PMC2610263.</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26.</w:t>
      </w:r>
      <w:r w:rsidRPr="00C9358B">
        <w:rPr>
          <w:rFonts w:ascii="Times New Roman" w:hAnsi="Times New Roman" w:cs="Times New Roman"/>
          <w:sz w:val="24"/>
          <w:szCs w:val="24"/>
        </w:rPr>
        <w:tab/>
        <w:t xml:space="preserve">Ohlemiller KK, Rybak Rice ME, Rosen AD, Montgomery SC, Gagnon PM. Protection by low-dose kanamycin against noise-induced hearing loss in mice: dependence on dosing regimen and genetic background. Hearing research. </w:t>
      </w:r>
      <w:r w:rsidRPr="00C9358B">
        <w:rPr>
          <w:rFonts w:ascii="Times New Roman" w:hAnsi="Times New Roman" w:cs="Times New Roman"/>
          <w:sz w:val="24"/>
          <w:szCs w:val="24"/>
        </w:rPr>
        <w:lastRenderedPageBreak/>
        <w:t>2011;280(1-2):141-7. doi: 10.1016/j.heares.2011.05.007. PubMed PMID: 21645602; PubMed Central PMCID: PMC3175505.</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27.</w:t>
      </w:r>
      <w:r w:rsidRPr="00C9358B">
        <w:rPr>
          <w:rFonts w:ascii="Times New Roman" w:hAnsi="Times New Roman" w:cs="Times New Roman"/>
          <w:sz w:val="24"/>
          <w:szCs w:val="24"/>
        </w:rPr>
        <w:tab/>
        <w:t>Pawelczyk M, Van Laer L, Fransen E, Rajkowska E, Konings A, Carlsson PI, et al. Analysis of gene polymorphisms associated with K ion circulation in the inner ear of patients susceptible and resistant to noise-induced hearing loss. Ann Hum Genet. 2009;73(Pt 4):411-21. doi: 10.1111/j.1469-1809.2009.00521.x. PubMed PMID: 19523148.</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28.</w:t>
      </w:r>
      <w:r w:rsidRPr="00C9358B">
        <w:rPr>
          <w:rFonts w:ascii="Times New Roman" w:hAnsi="Times New Roman" w:cs="Times New Roman"/>
          <w:sz w:val="24"/>
          <w:szCs w:val="24"/>
        </w:rPr>
        <w:tab/>
        <w:t>Roy S, Ryals MM, Van den Bruele AB, Fitzgerald TS, Cunningham LL. Sound preconditioning therapy inhibits ototoxic hearing loss in mice. J Clin Invest. 2013;123(11):4945-9. doi: 10.1172/JCI71353. PubMed PMID: 242</w:t>
      </w:r>
      <w:r w:rsidR="00C457FF">
        <w:rPr>
          <w:rFonts w:ascii="Times New Roman" w:hAnsi="Times New Roman" w:cs="Times New Roman"/>
          <w:sz w:val="24"/>
          <w:szCs w:val="24"/>
        </w:rPr>
        <w:t xml:space="preserve">16513; PubMed Central PMCID: </w:t>
      </w:r>
      <w:r w:rsidRPr="00C9358B">
        <w:rPr>
          <w:rFonts w:ascii="Times New Roman" w:hAnsi="Times New Roman" w:cs="Times New Roman"/>
          <w:sz w:val="24"/>
          <w:szCs w:val="24"/>
        </w:rPr>
        <w:t>PMC3809804.</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29.</w:t>
      </w:r>
      <w:r w:rsidRPr="00C9358B">
        <w:rPr>
          <w:rFonts w:ascii="Times New Roman" w:hAnsi="Times New Roman" w:cs="Times New Roman"/>
          <w:sz w:val="24"/>
          <w:szCs w:val="24"/>
        </w:rPr>
        <w:tab/>
        <w:t>Shi X. Pathophysiology of the cochlear intrastrial fluid-blood barrier (review). Hearing research. 2016;338:52-63. doi: 10.1016/j.heares.2016.01.010. PubMed PMID: 268</w:t>
      </w:r>
      <w:r w:rsidR="00C457FF">
        <w:rPr>
          <w:rFonts w:ascii="Times New Roman" w:hAnsi="Times New Roman" w:cs="Times New Roman"/>
          <w:sz w:val="24"/>
          <w:szCs w:val="24"/>
        </w:rPr>
        <w:t xml:space="preserve">02581; PubMed Central PMCID: </w:t>
      </w:r>
      <w:r w:rsidRPr="00C9358B">
        <w:rPr>
          <w:rFonts w:ascii="Times New Roman" w:hAnsi="Times New Roman" w:cs="Times New Roman"/>
          <w:sz w:val="24"/>
          <w:szCs w:val="24"/>
        </w:rPr>
        <w:t>PMC5322264.</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30.</w:t>
      </w:r>
      <w:r w:rsidRPr="00C9358B">
        <w:rPr>
          <w:rFonts w:ascii="Times New Roman" w:hAnsi="Times New Roman" w:cs="Times New Roman"/>
          <w:sz w:val="24"/>
          <w:szCs w:val="24"/>
        </w:rPr>
        <w:tab/>
        <w:t>Sliwinska-Kowalska M, Pawelczyk M. Contribution of genetic factors to noise-induced hearing loss: a human studies review. Mutation research. 2013;752(1):61-5. Epub 2012/12/05. doi: 10.1016/j.mrrev.2012.11.001. PubMed PMID: 23207014.</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31.</w:t>
      </w:r>
      <w:r w:rsidRPr="00C9358B">
        <w:rPr>
          <w:rFonts w:ascii="Times New Roman" w:hAnsi="Times New Roman" w:cs="Times New Roman"/>
          <w:sz w:val="24"/>
          <w:szCs w:val="24"/>
        </w:rPr>
        <w:tab/>
        <w:t>Sone M, Hayashi H, Yamamoto H, Hoshino T, Mizushima T, Nakashima T. Upregulation of HSP by geranylgeranylacetone protects the cochlear lateral wall from endotoxin-induced inflammation. Hearing research. 2005;204(1-2):140-6. Epub 2005/06/01. doi: 10.1016/j.heares.2005.01.012. PubMed PMID: 15925199.</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lastRenderedPageBreak/>
        <w:t>32.</w:t>
      </w:r>
      <w:r w:rsidRPr="00C9358B">
        <w:rPr>
          <w:rFonts w:ascii="Times New Roman" w:hAnsi="Times New Roman" w:cs="Times New Roman"/>
          <w:sz w:val="24"/>
          <w:szCs w:val="24"/>
        </w:rPr>
        <w:tab/>
        <w:t>Steyger PP. Translating In Vitro Data into Auditory Protection. Hearing Journal. 2014;67(4):20,2.</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33.</w:t>
      </w:r>
      <w:r w:rsidRPr="00C9358B">
        <w:rPr>
          <w:rFonts w:ascii="Times New Roman" w:hAnsi="Times New Roman" w:cs="Times New Roman"/>
          <w:sz w:val="24"/>
          <w:szCs w:val="24"/>
        </w:rPr>
        <w:tab/>
        <w:t>Sugahara K, Inouye S, Izu H, Katoh Y, Katsuki K, Takemoto T, et al. Heat shock transcription factor HSF1 is required for survival of sensory hair cells against acoustic overexposure. Hearing research. 2003;182(1-2):88-96. Epub 2003/09/02. PubMed PMID: 12948605.</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34.</w:t>
      </w:r>
      <w:r w:rsidRPr="00C9358B">
        <w:rPr>
          <w:rFonts w:ascii="Times New Roman" w:hAnsi="Times New Roman" w:cs="Times New Roman"/>
          <w:sz w:val="24"/>
          <w:szCs w:val="24"/>
        </w:rPr>
        <w:tab/>
        <w:t>Sun W, Zhang L, Lu J, Yang G, Laundrie E, Salvi R. Noise exposure-induced enhancement of auditory cortex response and changes in gene expression. Neuroscience. 2008;156(2):374-80. Epub 2008/08/21. doi: 10.1016/j.neuroscience.2008.07.040. PubMed PMID: 187</w:t>
      </w:r>
      <w:r w:rsidR="00C457FF">
        <w:rPr>
          <w:rFonts w:ascii="Times New Roman" w:hAnsi="Times New Roman" w:cs="Times New Roman"/>
          <w:sz w:val="24"/>
          <w:szCs w:val="24"/>
        </w:rPr>
        <w:t xml:space="preserve">13646; PubMed Central PMCID: </w:t>
      </w:r>
      <w:r w:rsidRPr="00C9358B">
        <w:rPr>
          <w:rFonts w:ascii="Times New Roman" w:hAnsi="Times New Roman" w:cs="Times New Roman"/>
          <w:sz w:val="24"/>
          <w:szCs w:val="24"/>
        </w:rPr>
        <w:t>PMC2573047.</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35.</w:t>
      </w:r>
      <w:r w:rsidRPr="00C9358B">
        <w:rPr>
          <w:rFonts w:ascii="Times New Roman" w:hAnsi="Times New Roman" w:cs="Times New Roman"/>
          <w:sz w:val="24"/>
          <w:szCs w:val="24"/>
        </w:rPr>
        <w:tab/>
        <w:t>Takumida M, Anniko M. Heat shock protein 70 delays gentamicin-induced vestibular hair cell death. Acta Otolaryngol. 2005;125(1):23-8. PubMed PMID: 15799569.</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36.</w:t>
      </w:r>
      <w:r w:rsidRPr="00C9358B">
        <w:rPr>
          <w:rFonts w:ascii="Times New Roman" w:hAnsi="Times New Roman" w:cs="Times New Roman"/>
          <w:sz w:val="24"/>
          <w:szCs w:val="24"/>
        </w:rPr>
        <w:tab/>
        <w:t>Taleb M, Brandon CS, Lee FS, Harris KC, Dillmann WH, Cunningham LL. Hsp70 inhibits aminoglycoside-induced hearing loss and cochlear hair cell death. Cell stress &amp; chaperones. 2009;14(4):427-37. doi: 10.1007/s12192-008-0097-2. PubMed PMID: 191</w:t>
      </w:r>
      <w:r w:rsidR="00C457FF">
        <w:rPr>
          <w:rFonts w:ascii="Times New Roman" w:hAnsi="Times New Roman" w:cs="Times New Roman"/>
          <w:sz w:val="24"/>
          <w:szCs w:val="24"/>
        </w:rPr>
        <w:t xml:space="preserve">45477; PubMed Central PMCID: </w:t>
      </w:r>
      <w:r w:rsidRPr="00C9358B">
        <w:rPr>
          <w:rFonts w:ascii="Times New Roman" w:hAnsi="Times New Roman" w:cs="Times New Roman"/>
          <w:sz w:val="24"/>
          <w:szCs w:val="24"/>
        </w:rPr>
        <w:t>PMC2728278.</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37.</w:t>
      </w:r>
      <w:r w:rsidRPr="00C9358B">
        <w:rPr>
          <w:rFonts w:ascii="Times New Roman" w:hAnsi="Times New Roman" w:cs="Times New Roman"/>
          <w:sz w:val="24"/>
          <w:szCs w:val="24"/>
        </w:rPr>
        <w:tab/>
        <w:t>Themann CMA, Suter AHPD, Stephenson MRPD. National Research Agenda for the Prevention of Occupational Hearing Loss-Part 1. Seminars in Hearing. 2013;34(3):145-207.</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38.</w:t>
      </w:r>
      <w:r w:rsidRPr="00C9358B">
        <w:rPr>
          <w:rFonts w:ascii="Times New Roman" w:hAnsi="Times New Roman" w:cs="Times New Roman"/>
          <w:sz w:val="24"/>
          <w:szCs w:val="24"/>
        </w:rPr>
        <w:tab/>
        <w:t xml:space="preserve">Vazzana M, Celi M, Arizza V, Calandra G, Buscaino G, Ferrantelli V, et al. Noise </w:t>
      </w:r>
      <w:r w:rsidRPr="00C9358B">
        <w:rPr>
          <w:rFonts w:ascii="Times New Roman" w:hAnsi="Times New Roman" w:cs="Times New Roman"/>
          <w:sz w:val="24"/>
          <w:szCs w:val="24"/>
        </w:rPr>
        <w:lastRenderedPageBreak/>
        <w:t>elicits hematological stress parameters in Mediterranean damselfish (Chromis chromis, perciformes): A mesocosm study. Fish Shellfish Immunol. 2017;62:147-52. doi: 10.1016/j.fsi.2017.01.022. PubMed PMID: 28108343.</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39.</w:t>
      </w:r>
      <w:r w:rsidRPr="00C9358B">
        <w:rPr>
          <w:rFonts w:ascii="Times New Roman" w:hAnsi="Times New Roman" w:cs="Times New Roman"/>
          <w:sz w:val="24"/>
          <w:szCs w:val="24"/>
        </w:rPr>
        <w:tab/>
        <w:t>Wang B, Ding E, Shen H, Wang J, Sun K, Chen S, et al. Association of TagSNP in lncRNA HOTAIR with susceptibility to noise-induced hearing loss in a Chinese population. Hearing research. 2017;347:41-6. doi: 10.1016/j.heares.2017.02.007. PubMed PMID: 28223190.</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40.</w:t>
      </w:r>
      <w:r w:rsidRPr="00C9358B">
        <w:rPr>
          <w:rFonts w:ascii="Times New Roman" w:hAnsi="Times New Roman" w:cs="Times New Roman"/>
          <w:sz w:val="24"/>
          <w:szCs w:val="24"/>
        </w:rPr>
        <w:tab/>
        <w:t>Warchol ME. Cellular mechanisms of aminoglycoside ototoxicity. Curr Opin Otolaryngol Head Neck Surg. 2010;18(5):454-8. doi: 10.1097/MOO.0b013e32833e05ec. PubMed PMID: 20717031.</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41.</w:t>
      </w:r>
      <w:r w:rsidRPr="00C9358B">
        <w:rPr>
          <w:rFonts w:ascii="Times New Roman" w:hAnsi="Times New Roman" w:cs="Times New Roman"/>
          <w:sz w:val="24"/>
          <w:szCs w:val="24"/>
        </w:rPr>
        <w:tab/>
        <w:t>Yamahara K, Yamamoto N, Nakagawa T, Ito J. Insulin-like growth factor 1: A novel treatment for the protection or regeneration of cochlear hair cells. Hearing research. 2015;330(Pt A):2-9. doi: 10.1016/j.heares.2015.04.009. PubMed PMID: 25937136.</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42.</w:t>
      </w:r>
      <w:r w:rsidRPr="00C9358B">
        <w:rPr>
          <w:rFonts w:ascii="Times New Roman" w:hAnsi="Times New Roman" w:cs="Times New Roman"/>
          <w:sz w:val="24"/>
          <w:szCs w:val="24"/>
        </w:rPr>
        <w:tab/>
        <w:t>Yang M, Zheng J, Yang Q, Yao H, Chen Y, Tan H, et al. Frequency-specific association of antibodies against heat shock proteins 60 and 70 with noise-induced hearing loss in Chinese workers. Cell stress &amp; chaperones. 2004;9(2):207-13. doi: 10.1379/csc-12r.1. PubMed PMID: 154</w:t>
      </w:r>
      <w:r w:rsidR="00C457FF">
        <w:rPr>
          <w:rFonts w:ascii="Times New Roman" w:hAnsi="Times New Roman" w:cs="Times New Roman"/>
          <w:sz w:val="24"/>
          <w:szCs w:val="24"/>
        </w:rPr>
        <w:t xml:space="preserve">97506; PubMed Central PMCID: </w:t>
      </w:r>
      <w:r w:rsidRPr="00C9358B">
        <w:rPr>
          <w:rFonts w:ascii="Times New Roman" w:hAnsi="Times New Roman" w:cs="Times New Roman"/>
          <w:sz w:val="24"/>
          <w:szCs w:val="24"/>
        </w:rPr>
        <w:t>PMC1065299.</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43.</w:t>
      </w:r>
      <w:r w:rsidRPr="00C9358B">
        <w:rPr>
          <w:rFonts w:ascii="Times New Roman" w:hAnsi="Times New Roman" w:cs="Times New Roman"/>
          <w:sz w:val="24"/>
          <w:szCs w:val="24"/>
        </w:rPr>
        <w:tab/>
        <w:t xml:space="preserve">Yuan J, Yang M, Yao H, Zheng J, Yang Q, Chen S, et al. Plasma antibodies to heat shock protein 60 and heat shock protein 70 are associated with increased risk of electrocardiograph abnormalities in automobile workers exposed to noise. Cell </w:t>
      </w:r>
      <w:r w:rsidRPr="00C9358B">
        <w:rPr>
          <w:rFonts w:ascii="Times New Roman" w:hAnsi="Times New Roman" w:cs="Times New Roman"/>
          <w:sz w:val="24"/>
          <w:szCs w:val="24"/>
        </w:rPr>
        <w:lastRenderedPageBreak/>
        <w:t>stress &amp; chaperones. 2005;10(2):126-35. Epub 2005/07/26. PubMed PMID: 160</w:t>
      </w:r>
      <w:r w:rsidR="00C457FF">
        <w:rPr>
          <w:rFonts w:ascii="Times New Roman" w:hAnsi="Times New Roman" w:cs="Times New Roman"/>
          <w:sz w:val="24"/>
          <w:szCs w:val="24"/>
        </w:rPr>
        <w:t xml:space="preserve">38409; PubMed Central PMCID: </w:t>
      </w:r>
      <w:r w:rsidRPr="00C9358B">
        <w:rPr>
          <w:rFonts w:ascii="Times New Roman" w:hAnsi="Times New Roman" w:cs="Times New Roman"/>
          <w:sz w:val="24"/>
          <w:szCs w:val="24"/>
        </w:rPr>
        <w:t>PMC1176471.</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44.</w:t>
      </w:r>
      <w:r w:rsidRPr="00C9358B">
        <w:rPr>
          <w:rFonts w:ascii="Times New Roman" w:hAnsi="Times New Roman" w:cs="Times New Roman"/>
          <w:sz w:val="24"/>
          <w:szCs w:val="24"/>
        </w:rPr>
        <w:tab/>
        <w:t>Zuo H, Cui B, She X, Wu M. Changes in Guinea pig cochlear hair cells after sound conditioning and noise exposure. Journal of occupational health. 2008;50(5):373-9. Epub 2008/07/26. PubMed PMID: 18654041.</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45.</w:t>
      </w:r>
      <w:r w:rsidRPr="00C9358B">
        <w:rPr>
          <w:rFonts w:ascii="Times New Roman" w:hAnsi="Times New Roman" w:cs="Times New Roman"/>
          <w:sz w:val="24"/>
          <w:szCs w:val="24"/>
        </w:rPr>
        <w:tab/>
        <w:t>Zuo HY, Wu MQ, Cui B, She XJ. [The mechanism of protection by sound conditioning from acoustic trauma]. Chinese journal of applied physiology. 2005;21(4):462-5. PubMed PMID: 21180176.</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46.</w:t>
      </w:r>
      <w:r w:rsidRPr="00C9358B">
        <w:rPr>
          <w:rFonts w:ascii="Times New Roman" w:hAnsi="Times New Roman" w:cs="Times New Roman"/>
          <w:sz w:val="24"/>
          <w:szCs w:val="24"/>
        </w:rPr>
        <w:tab/>
        <w:t>Current World Literature. Current Opinion in Anaesthesiology. 2000;13(2):219-50.</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47.</w:t>
      </w:r>
      <w:r w:rsidRPr="00C9358B">
        <w:rPr>
          <w:rFonts w:ascii="Times New Roman" w:hAnsi="Times New Roman" w:cs="Times New Roman"/>
          <w:sz w:val="24"/>
          <w:szCs w:val="24"/>
        </w:rPr>
        <w:tab/>
        <w:t>[Abstracts of the 40th Easter/Western Regional Meeting, Japanese Society of Nephrology. 2010. Japan]. Nihon Jinzo Gakkai Shi. 2010;52(6):651-868. PubMed PMID: 20928953.</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48.</w:t>
      </w:r>
      <w:r w:rsidRPr="00C9358B">
        <w:rPr>
          <w:rFonts w:ascii="Times New Roman" w:hAnsi="Times New Roman" w:cs="Times New Roman"/>
          <w:sz w:val="24"/>
          <w:szCs w:val="24"/>
        </w:rPr>
        <w:tab/>
        <w:t>Abst D-FreeCommPosters. Medicine &amp; Science in Sports &amp; Exercise. 2012;44(5S) Supplement(2):267-958.</w:t>
      </w:r>
    </w:p>
    <w:p w:rsidR="00712236"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49.</w:t>
      </w:r>
      <w:r w:rsidRPr="00C9358B">
        <w:rPr>
          <w:rFonts w:ascii="Times New Roman" w:hAnsi="Times New Roman" w:cs="Times New Roman"/>
          <w:sz w:val="24"/>
          <w:szCs w:val="24"/>
        </w:rPr>
        <w:tab/>
        <w:t>Abstracts and Highlight Papers of the 31st Annual European Society of Regional Anaesthesia (ESRA) Congress 2012. Regional Anesthesia &amp; Pain Medicine September/October. 2012;37(5):E1-E311.</w:t>
      </w:r>
    </w:p>
    <w:p w:rsidR="0078620A" w:rsidRPr="00C9358B" w:rsidRDefault="00712236" w:rsidP="00C457FF">
      <w:pPr>
        <w:pStyle w:val="EndNoteBibliography"/>
        <w:spacing w:line="480" w:lineRule="auto"/>
        <w:ind w:left="360" w:hangingChars="150" w:hanging="360"/>
        <w:rPr>
          <w:rFonts w:ascii="Times New Roman" w:hAnsi="Times New Roman" w:cs="Times New Roman"/>
          <w:sz w:val="24"/>
          <w:szCs w:val="24"/>
        </w:rPr>
      </w:pPr>
      <w:r w:rsidRPr="00C9358B">
        <w:rPr>
          <w:rFonts w:ascii="Times New Roman" w:hAnsi="Times New Roman" w:cs="Times New Roman"/>
          <w:sz w:val="24"/>
          <w:szCs w:val="24"/>
        </w:rPr>
        <w:t>50.</w:t>
      </w:r>
      <w:r w:rsidRPr="00C9358B">
        <w:rPr>
          <w:rFonts w:ascii="Times New Roman" w:hAnsi="Times New Roman" w:cs="Times New Roman"/>
          <w:sz w:val="24"/>
          <w:szCs w:val="24"/>
        </w:rPr>
        <w:tab/>
        <w:t>Poster Session. Movement Disorders. 2016;31 Abstracts of the Twentieth International Congress of Parkinson's Disease and Movement(DisordersS2):S1-S697.</w:t>
      </w:r>
    </w:p>
    <w:sectPr w:rsidR="0078620A" w:rsidRPr="00C9358B" w:rsidSect="00306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00" w:rsidRDefault="00CD7600" w:rsidP="00C457FF">
      <w:r>
        <w:separator/>
      </w:r>
    </w:p>
  </w:endnote>
  <w:endnote w:type="continuationSeparator" w:id="1">
    <w:p w:rsidR="00CD7600" w:rsidRDefault="00CD7600" w:rsidP="00C45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00" w:rsidRDefault="00CD7600" w:rsidP="00C457FF">
      <w:r>
        <w:separator/>
      </w:r>
    </w:p>
  </w:footnote>
  <w:footnote w:type="continuationSeparator" w:id="1">
    <w:p w:rsidR="00CD7600" w:rsidRDefault="00CD7600" w:rsidP="00C45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712236"/>
    <w:rsid w:val="001406ED"/>
    <w:rsid w:val="00205D1F"/>
    <w:rsid w:val="0028446F"/>
    <w:rsid w:val="00712236"/>
    <w:rsid w:val="00897571"/>
    <w:rsid w:val="00C457FF"/>
    <w:rsid w:val="00C9358B"/>
    <w:rsid w:val="00CC26AB"/>
    <w:rsid w:val="00CD7600"/>
    <w:rsid w:val="00DE14F3"/>
    <w:rsid w:val="00F14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236"/>
    <w:rPr>
      <w:sz w:val="18"/>
      <w:szCs w:val="18"/>
    </w:rPr>
  </w:style>
  <w:style w:type="paragraph" w:styleId="a4">
    <w:name w:val="footer"/>
    <w:basedOn w:val="a"/>
    <w:link w:val="Char0"/>
    <w:uiPriority w:val="99"/>
    <w:semiHidden/>
    <w:unhideWhenUsed/>
    <w:rsid w:val="007122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236"/>
    <w:rPr>
      <w:sz w:val="18"/>
      <w:szCs w:val="18"/>
    </w:rPr>
  </w:style>
  <w:style w:type="paragraph" w:customStyle="1" w:styleId="EndNoteBibliographyTitle">
    <w:name w:val="EndNote Bibliography Title"/>
    <w:basedOn w:val="a"/>
    <w:link w:val="EndNoteBibliographyTitleChar"/>
    <w:rsid w:val="00712236"/>
    <w:pPr>
      <w:jc w:val="center"/>
    </w:pPr>
    <w:rPr>
      <w:rFonts w:ascii="Calibri" w:hAnsi="Calibri"/>
      <w:noProof/>
      <w:sz w:val="20"/>
    </w:rPr>
  </w:style>
  <w:style w:type="character" w:customStyle="1" w:styleId="EndNoteBibliographyTitleChar">
    <w:name w:val="EndNote Bibliography Title Char"/>
    <w:basedOn w:val="a0"/>
    <w:link w:val="EndNoteBibliographyTitle"/>
    <w:rsid w:val="00712236"/>
    <w:rPr>
      <w:rFonts w:ascii="Calibri" w:hAnsi="Calibri"/>
      <w:noProof/>
      <w:sz w:val="20"/>
    </w:rPr>
  </w:style>
  <w:style w:type="paragraph" w:customStyle="1" w:styleId="EndNoteBibliography">
    <w:name w:val="EndNote Bibliography"/>
    <w:basedOn w:val="a"/>
    <w:link w:val="EndNoteBibliographyChar"/>
    <w:rsid w:val="00712236"/>
    <w:rPr>
      <w:rFonts w:ascii="Calibri" w:hAnsi="Calibri"/>
      <w:noProof/>
      <w:sz w:val="20"/>
    </w:rPr>
  </w:style>
  <w:style w:type="character" w:customStyle="1" w:styleId="EndNoteBibliographyChar">
    <w:name w:val="EndNote Bibliography Char"/>
    <w:basedOn w:val="a0"/>
    <w:link w:val="EndNoteBibliography"/>
    <w:rsid w:val="00712236"/>
    <w:rPr>
      <w:rFonts w:ascii="Calibri" w:hAnsi="Calibri"/>
      <w:noProo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4</cp:revision>
  <dcterms:created xsi:type="dcterms:W3CDTF">2017-05-13T05:01:00Z</dcterms:created>
  <dcterms:modified xsi:type="dcterms:W3CDTF">2017-06-19T12:46:00Z</dcterms:modified>
</cp:coreProperties>
</file>