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5E48" w:rsidRDefault="00705E48" w:rsidP="000B2FF5">
      <w:pPr>
        <w:widowControl/>
        <w:spacing w:beforeLines="100" w:before="360" w:afterLines="100" w:after="360"/>
        <w:contextualSpacing/>
        <w:rPr>
          <w:rFonts w:cstheme="minorHAnsi"/>
          <w:b/>
          <w:bCs/>
        </w:rPr>
      </w:pPr>
      <w:r w:rsidRPr="002A14EB">
        <w:rPr>
          <w:rFonts w:cstheme="minorHAnsi"/>
          <w:b/>
          <w:bCs/>
        </w:rPr>
        <w:t>Responses to Reviewer’s Comments</w:t>
      </w:r>
    </w:p>
    <w:p w:rsidR="00705E48" w:rsidRPr="002A14EB" w:rsidRDefault="00705E48" w:rsidP="00705E48">
      <w:pPr>
        <w:widowControl/>
        <w:shd w:val="clear" w:color="auto" w:fill="FFFFFF"/>
        <w:spacing w:beforeLines="100" w:before="360" w:afterLines="100" w:after="360" w:line="360" w:lineRule="auto"/>
        <w:contextualSpacing/>
        <w:rPr>
          <w:rFonts w:eastAsia="新細明體" w:cstheme="minorHAnsi"/>
          <w:color w:val="222222"/>
          <w:kern w:val="0"/>
          <w:szCs w:val="24"/>
        </w:rPr>
      </w:pPr>
      <w:r w:rsidRPr="002A14EB">
        <w:rPr>
          <w:rFonts w:eastAsia="新細明體" w:cstheme="minorHAnsi"/>
          <w:b/>
          <w:color w:val="222222"/>
          <w:kern w:val="0"/>
          <w:szCs w:val="24"/>
        </w:rPr>
        <w:t>Reviewer #</w:t>
      </w:r>
      <w:r w:rsidR="000B2FF5">
        <w:rPr>
          <w:rFonts w:eastAsia="新細明體" w:cstheme="minorHAnsi"/>
          <w:b/>
          <w:color w:val="222222"/>
          <w:kern w:val="0"/>
          <w:szCs w:val="24"/>
        </w:rPr>
        <w:t>2</w:t>
      </w:r>
      <w:r w:rsidRPr="002A14EB">
        <w:rPr>
          <w:rFonts w:eastAsia="新細明體" w:cstheme="minorHAnsi"/>
          <w:color w:val="222222"/>
          <w:kern w:val="0"/>
          <w:szCs w:val="24"/>
        </w:rPr>
        <w:t>:</w:t>
      </w:r>
    </w:p>
    <w:tbl>
      <w:tblPr>
        <w:tblStyle w:val="aa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705E48" w:rsidRPr="002A14EB" w:rsidTr="00AA147D">
        <w:tc>
          <w:tcPr>
            <w:tcW w:w="9781" w:type="dxa"/>
          </w:tcPr>
          <w:p w:rsidR="00705E48" w:rsidRPr="002A14EB" w:rsidRDefault="000B2FF5" w:rsidP="00AA147D">
            <w:pPr>
              <w:widowControl/>
              <w:shd w:val="clear" w:color="auto" w:fill="FFFFFF"/>
              <w:spacing w:beforeLines="100" w:before="360" w:afterLines="100" w:after="360" w:line="360" w:lineRule="auto"/>
              <w:contextualSpacing/>
              <w:rPr>
                <w:rFonts w:eastAsia="新細明體" w:cstheme="minorHAnsi"/>
                <w:b/>
                <w:bCs/>
                <w:color w:val="222222"/>
                <w:kern w:val="0"/>
                <w:szCs w:val="24"/>
              </w:rPr>
            </w:pP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Here you receive my 2nd review of the manuscript entitled “Underweight Predicts Extubation Failure after Planned Extubation in Intensive Care Units “with short title: “Underweight and extubation failure“ and ID: PONE-D-22-30747R1.</w:t>
            </w: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br/>
              <w:t>The authors took our previous comments very seriously in trying to improve understanding of their study results. However, I have some questions. When you answer one of our questions regarding lower body mass, vs overweight you found that besides underweight other factors more related tot</w:t>
            </w:r>
            <w:r w:rsidR="00870D9A">
              <w:rPr>
                <w:rFonts w:eastAsia="新細明體" w:cstheme="minorHAnsi"/>
                <w:color w:val="222222"/>
                <w:kern w:val="0"/>
                <w:szCs w:val="24"/>
              </w:rPr>
              <w:t>al</w:t>
            </w: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ventilation </w:t>
            </w:r>
            <w:proofErr w:type="gramStart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were</w:t>
            </w:r>
            <w:proofErr w:type="gramEnd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associated with extubation failure, e.g. decreased maximal inspiratory airway pressure (</w:t>
            </w:r>
            <w:proofErr w:type="spellStart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aOR</w:t>
            </w:r>
            <w:proofErr w:type="spellEnd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, 1.05 per 1-cmH2O decrease; 95% CI 1.00-1.09) and having ESRD. Did you find any association between relative underweight and decrease of maximal inspiration pressure and/or </w:t>
            </w:r>
            <w:proofErr w:type="gramStart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ESRD.</w:t>
            </w:r>
            <w:proofErr w:type="gramEnd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Ans also in other words, did patients with underweight within the population and no ESRD and normal maximal inspiration pressure also show an increased risk of extubation failure?</w:t>
            </w:r>
          </w:p>
          <w:p w:rsidR="00705E48" w:rsidRPr="002A14EB" w:rsidRDefault="00705E48" w:rsidP="00AA147D">
            <w:pPr>
              <w:widowControl/>
              <w:shd w:val="clear" w:color="auto" w:fill="FFFFFF"/>
              <w:spacing w:beforeLines="100" w:before="360" w:afterLines="100" w:after="360" w:line="360" w:lineRule="auto"/>
              <w:contextualSpacing/>
              <w:rPr>
                <w:rFonts w:eastAsia="新細明體" w:cstheme="minorHAnsi"/>
                <w:b/>
                <w:bCs/>
                <w:color w:val="222222"/>
                <w:kern w:val="0"/>
                <w:szCs w:val="24"/>
              </w:rPr>
            </w:pPr>
            <w:r w:rsidRPr="002A14EB">
              <w:rPr>
                <w:rFonts w:eastAsia="新細明體" w:cstheme="minorHAnsi"/>
                <w:b/>
                <w:bCs/>
                <w:color w:val="222222"/>
                <w:kern w:val="0"/>
                <w:szCs w:val="24"/>
              </w:rPr>
              <w:t>Response:</w:t>
            </w:r>
          </w:p>
          <w:p w:rsidR="00705E48" w:rsidRDefault="00705E48" w:rsidP="00537829">
            <w:pPr>
              <w:widowControl/>
              <w:shd w:val="clear" w:color="auto" w:fill="FFFFFF"/>
              <w:spacing w:beforeLines="100" w:before="360" w:afterLines="100" w:after="360" w:line="360" w:lineRule="auto"/>
              <w:ind w:firstLineChars="200" w:firstLine="480"/>
              <w:contextualSpacing/>
              <w:rPr>
                <w:rFonts w:eastAsia="新細明體" w:cstheme="minorHAnsi"/>
                <w:color w:val="222222"/>
                <w:kern w:val="0"/>
                <w:szCs w:val="24"/>
              </w:rPr>
            </w:pPr>
            <w:r w:rsidRPr="002A14EB">
              <w:rPr>
                <w:rFonts w:eastAsia="新細明體" w:cstheme="minorHAnsi" w:hint="eastAsia"/>
                <w:color w:val="222222"/>
                <w:kern w:val="0"/>
                <w:szCs w:val="24"/>
              </w:rPr>
              <w:t>T</w:t>
            </w:r>
            <w:r w:rsidRPr="002A14EB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hank you for the </w:t>
            </w:r>
            <w:r w:rsidR="00BC6FE8">
              <w:rPr>
                <w:rFonts w:eastAsia="新細明體" w:cstheme="minorHAnsi"/>
                <w:color w:val="222222"/>
                <w:kern w:val="0"/>
                <w:szCs w:val="24"/>
              </w:rPr>
              <w:t>query.</w:t>
            </w:r>
            <w:r w:rsidR="00C756A9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To exam the association and potential multicollinearity between underweight, having ESRD and having a low MIP level, we calculated the variance inflation factor (VIF) of the final </w:t>
            </w:r>
            <w:r w:rsidR="00390BE2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multivariate logistic </w:t>
            </w:r>
            <w:r w:rsidR="00C756A9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model and no potential </w:t>
            </w:r>
            <w:r w:rsidR="00C756A9">
              <w:rPr>
                <w:rFonts w:eastAsia="新細明體" w:cstheme="minorHAnsi"/>
                <w:color w:val="222222"/>
                <w:kern w:val="0"/>
                <w:szCs w:val="24"/>
              </w:rPr>
              <w:t>multicollinearity</w:t>
            </w:r>
            <w:r w:rsidR="00C756A9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was detected.</w:t>
            </w:r>
          </w:p>
          <w:tbl>
            <w:tblPr>
              <w:tblStyle w:val="aa"/>
              <w:tblW w:w="0" w:type="auto"/>
              <w:tblInd w:w="1023" w:type="dxa"/>
              <w:tblLook w:val="04A0" w:firstRow="1" w:lastRow="0" w:firstColumn="1" w:lastColumn="0" w:noHBand="0" w:noVBand="1"/>
            </w:tblPr>
            <w:tblGrid>
              <w:gridCol w:w="3260"/>
              <w:gridCol w:w="4678"/>
            </w:tblGrid>
            <w:tr w:rsidR="00390BE2" w:rsidTr="00390BE2">
              <w:tc>
                <w:tcPr>
                  <w:tcW w:w="3260" w:type="dxa"/>
                </w:tcPr>
                <w:p w:rsidR="00390BE2" w:rsidRDefault="00390BE2" w:rsidP="00537829">
                  <w:pPr>
                    <w:widowControl/>
                    <w:spacing w:beforeLines="100" w:before="360" w:afterLines="100" w:after="360" w:line="360" w:lineRule="auto"/>
                    <w:contextualSpacing/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</w:pPr>
                  <w:r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  <w:t>V</w:t>
                  </w: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>ariables</w:t>
                  </w:r>
                </w:p>
              </w:tc>
              <w:tc>
                <w:tcPr>
                  <w:tcW w:w="4678" w:type="dxa"/>
                </w:tcPr>
                <w:p w:rsidR="00390BE2" w:rsidRDefault="00390BE2" w:rsidP="00537829">
                  <w:pPr>
                    <w:widowControl/>
                    <w:spacing w:beforeLines="100" w:before="360" w:afterLines="100" w:after="360" w:line="360" w:lineRule="auto"/>
                    <w:contextualSpacing/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</w:pP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>V</w:t>
                  </w: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 xml:space="preserve">ariance </w:t>
                  </w: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>I</w:t>
                  </w: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 xml:space="preserve">nflation </w:t>
                  </w: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>F</w:t>
                  </w: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>actor</w:t>
                  </w:r>
                </w:p>
              </w:tc>
            </w:tr>
            <w:tr w:rsidR="00390BE2" w:rsidTr="00390BE2">
              <w:tc>
                <w:tcPr>
                  <w:tcW w:w="3260" w:type="dxa"/>
                </w:tcPr>
                <w:p w:rsidR="00390BE2" w:rsidRDefault="00390BE2" w:rsidP="00537829">
                  <w:pPr>
                    <w:widowControl/>
                    <w:spacing w:beforeLines="100" w:before="360" w:afterLines="100" w:after="360" w:line="360" w:lineRule="auto"/>
                    <w:contextualSpacing/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</w:pPr>
                  <w:r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  <w:t>U</w:t>
                  </w: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 xml:space="preserve">nderweight vs. </w:t>
                  </w:r>
                  <w:proofErr w:type="spellStart"/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>normoweight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390BE2" w:rsidRDefault="00390BE2" w:rsidP="00537829">
                  <w:pPr>
                    <w:widowControl/>
                    <w:spacing w:beforeLines="100" w:before="360" w:afterLines="100" w:after="360" w:line="360" w:lineRule="auto"/>
                    <w:contextualSpacing/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</w:pPr>
                  <w:r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  <w:t>1</w:t>
                  </w: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>.29</w:t>
                  </w:r>
                </w:p>
              </w:tc>
            </w:tr>
            <w:tr w:rsidR="00390BE2" w:rsidTr="00390BE2">
              <w:tc>
                <w:tcPr>
                  <w:tcW w:w="3260" w:type="dxa"/>
                </w:tcPr>
                <w:p w:rsidR="00390BE2" w:rsidRDefault="00390BE2" w:rsidP="00537829">
                  <w:pPr>
                    <w:widowControl/>
                    <w:spacing w:beforeLines="100" w:before="360" w:afterLines="100" w:after="360" w:line="360" w:lineRule="auto"/>
                    <w:contextualSpacing/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</w:pP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>Over</w:t>
                  </w: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 xml:space="preserve">weight vs. </w:t>
                  </w:r>
                  <w:proofErr w:type="spellStart"/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>normoweight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390BE2" w:rsidRDefault="00390BE2" w:rsidP="00537829">
                  <w:pPr>
                    <w:widowControl/>
                    <w:spacing w:beforeLines="100" w:before="360" w:afterLines="100" w:after="360" w:line="360" w:lineRule="auto"/>
                    <w:contextualSpacing/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</w:pPr>
                  <w:r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  <w:t>1</w:t>
                  </w: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>.66</w:t>
                  </w:r>
                </w:p>
              </w:tc>
            </w:tr>
            <w:tr w:rsidR="00390BE2" w:rsidTr="00390BE2">
              <w:tc>
                <w:tcPr>
                  <w:tcW w:w="3260" w:type="dxa"/>
                </w:tcPr>
                <w:p w:rsidR="00390BE2" w:rsidRDefault="00390BE2" w:rsidP="00537829">
                  <w:pPr>
                    <w:widowControl/>
                    <w:spacing w:beforeLines="100" w:before="360" w:afterLines="100" w:after="360" w:line="360" w:lineRule="auto"/>
                    <w:contextualSpacing/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</w:pPr>
                  <w:r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  <w:t>M</w:t>
                  </w: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>aximal inspiratory pressure</w:t>
                  </w:r>
                </w:p>
              </w:tc>
              <w:tc>
                <w:tcPr>
                  <w:tcW w:w="4678" w:type="dxa"/>
                </w:tcPr>
                <w:p w:rsidR="00390BE2" w:rsidRDefault="00390BE2" w:rsidP="00537829">
                  <w:pPr>
                    <w:widowControl/>
                    <w:spacing w:beforeLines="100" w:before="360" w:afterLines="100" w:after="360" w:line="360" w:lineRule="auto"/>
                    <w:contextualSpacing/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</w:pPr>
                  <w:r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  <w:t>2</w:t>
                  </w: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>.51</w:t>
                  </w:r>
                </w:p>
              </w:tc>
            </w:tr>
            <w:tr w:rsidR="00390BE2" w:rsidTr="00390BE2">
              <w:tc>
                <w:tcPr>
                  <w:tcW w:w="3260" w:type="dxa"/>
                </w:tcPr>
                <w:p w:rsidR="00390BE2" w:rsidRDefault="00390BE2" w:rsidP="00537829">
                  <w:pPr>
                    <w:widowControl/>
                    <w:spacing w:beforeLines="100" w:before="360" w:afterLines="100" w:after="360" w:line="360" w:lineRule="auto"/>
                    <w:contextualSpacing/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</w:pPr>
                  <w:r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  <w:t>S</w:t>
                  </w: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>moking</w:t>
                  </w:r>
                </w:p>
              </w:tc>
              <w:tc>
                <w:tcPr>
                  <w:tcW w:w="4678" w:type="dxa"/>
                </w:tcPr>
                <w:p w:rsidR="00390BE2" w:rsidRDefault="00390BE2" w:rsidP="00537829">
                  <w:pPr>
                    <w:widowControl/>
                    <w:spacing w:beforeLines="100" w:before="360" w:afterLines="100" w:after="360" w:line="360" w:lineRule="auto"/>
                    <w:contextualSpacing/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</w:pPr>
                  <w:r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  <w:t>1</w:t>
                  </w: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>.52</w:t>
                  </w:r>
                </w:p>
              </w:tc>
            </w:tr>
            <w:tr w:rsidR="00390BE2" w:rsidTr="00390BE2">
              <w:tc>
                <w:tcPr>
                  <w:tcW w:w="3260" w:type="dxa"/>
                </w:tcPr>
                <w:p w:rsidR="00390BE2" w:rsidRDefault="00390BE2" w:rsidP="00537829">
                  <w:pPr>
                    <w:widowControl/>
                    <w:spacing w:beforeLines="100" w:before="360" w:afterLines="100" w:after="360" w:line="360" w:lineRule="auto"/>
                    <w:contextualSpacing/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</w:pPr>
                  <w:r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  <w:t>H</w:t>
                  </w: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>aving ESRD</w:t>
                  </w:r>
                </w:p>
              </w:tc>
              <w:tc>
                <w:tcPr>
                  <w:tcW w:w="4678" w:type="dxa"/>
                </w:tcPr>
                <w:p w:rsidR="00390BE2" w:rsidRDefault="00390BE2" w:rsidP="00537829">
                  <w:pPr>
                    <w:widowControl/>
                    <w:spacing w:beforeLines="100" w:before="360" w:afterLines="100" w:after="360" w:line="360" w:lineRule="auto"/>
                    <w:contextualSpacing/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</w:pPr>
                  <w:r>
                    <w:rPr>
                      <w:rFonts w:eastAsia="新細明體" w:cstheme="minorHAnsi" w:hint="eastAsia"/>
                      <w:color w:val="222222"/>
                      <w:kern w:val="0"/>
                      <w:szCs w:val="24"/>
                    </w:rPr>
                    <w:t>1</w:t>
                  </w:r>
                  <w:r>
                    <w:rPr>
                      <w:rFonts w:eastAsia="新細明體" w:cstheme="minorHAnsi"/>
                      <w:color w:val="222222"/>
                      <w:kern w:val="0"/>
                      <w:szCs w:val="24"/>
                    </w:rPr>
                    <w:t>.09</w:t>
                  </w:r>
                </w:p>
              </w:tc>
            </w:tr>
          </w:tbl>
          <w:p w:rsidR="00390BE2" w:rsidRDefault="00390BE2" w:rsidP="00537829">
            <w:pPr>
              <w:widowControl/>
              <w:shd w:val="clear" w:color="auto" w:fill="FFFFFF"/>
              <w:spacing w:beforeLines="100" w:before="360" w:afterLines="100" w:after="360" w:line="360" w:lineRule="auto"/>
              <w:ind w:firstLineChars="200" w:firstLine="480"/>
              <w:contextualSpacing/>
              <w:rPr>
                <w:rFonts w:eastAsia="新細明體" w:cstheme="minorHAnsi"/>
                <w:color w:val="222222"/>
                <w:kern w:val="0"/>
                <w:szCs w:val="24"/>
              </w:rPr>
            </w:pPr>
          </w:p>
          <w:p w:rsidR="00C756A9" w:rsidRPr="002A14EB" w:rsidRDefault="00390BE2" w:rsidP="00F16B72">
            <w:pPr>
              <w:widowControl/>
              <w:shd w:val="clear" w:color="auto" w:fill="FFFFFF"/>
              <w:spacing w:beforeLines="100" w:before="360" w:afterLines="100" w:after="360" w:line="360" w:lineRule="auto"/>
              <w:ind w:firstLineChars="200" w:firstLine="480"/>
              <w:contextualSpacing/>
              <w:rPr>
                <w:rFonts w:eastAsia="新細明體" w:cstheme="minorHAnsi" w:hint="eastAsia"/>
                <w:color w:val="222222"/>
                <w:kern w:val="0"/>
                <w:szCs w:val="24"/>
              </w:rPr>
            </w:pPr>
            <w:r>
              <w:rPr>
                <w:rFonts w:eastAsia="新細明體" w:cstheme="minorHAnsi"/>
                <w:color w:val="222222"/>
                <w:kern w:val="0"/>
                <w:szCs w:val="24"/>
              </w:rPr>
              <w:lastRenderedPageBreak/>
              <w:t>Furthermore, a</w:t>
            </w:r>
            <w:r w:rsidR="00C756A9">
              <w:rPr>
                <w:rFonts w:eastAsia="新細明體" w:cstheme="minorHAnsi"/>
                <w:color w:val="222222"/>
                <w:kern w:val="0"/>
                <w:szCs w:val="24"/>
              </w:rPr>
              <w:t>s an additional sensitivity analysis, we excluded those with ESRD (n=20) and those with a MIP&lt;20 cmH</w:t>
            </w:r>
            <w:r w:rsidR="00C756A9" w:rsidRPr="00C756A9">
              <w:rPr>
                <w:rFonts w:eastAsia="新細明體" w:cstheme="minorHAnsi"/>
                <w:color w:val="222222"/>
                <w:kern w:val="0"/>
                <w:szCs w:val="24"/>
                <w:vertAlign w:val="subscript"/>
              </w:rPr>
              <w:t>2</w:t>
            </w:r>
            <w:r w:rsidR="00C756A9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O (n=19). In the remaining 229 patients, </w:t>
            </w:r>
            <w:r>
              <w:rPr>
                <w:rFonts w:eastAsia="新細明體" w:cstheme="minorHAnsi"/>
                <w:color w:val="222222"/>
                <w:kern w:val="0"/>
                <w:szCs w:val="24"/>
              </w:rPr>
              <w:t xml:space="preserve">105 were </w:t>
            </w:r>
            <w:proofErr w:type="spellStart"/>
            <w:r>
              <w:rPr>
                <w:rFonts w:eastAsia="新細明體" w:cstheme="minorHAnsi"/>
                <w:color w:val="222222"/>
                <w:kern w:val="0"/>
                <w:szCs w:val="24"/>
              </w:rPr>
              <w:t>normoweight</w:t>
            </w:r>
            <w:proofErr w:type="spellEnd"/>
            <w:r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and the proportion of extubation failure was 3.8% (4/105) while the proportion of extubation failure were 12.8% (5/39) and 2.7% (2/74) </w:t>
            </w:r>
            <w:r w:rsidR="00F16B72">
              <w:rPr>
                <w:rFonts w:eastAsia="新細明體" w:cstheme="minorHAnsi"/>
                <w:color w:val="222222"/>
                <w:kern w:val="0"/>
                <w:szCs w:val="24"/>
              </w:rPr>
              <w:t>for underweight and overweight patients, respectively.</w:t>
            </w:r>
            <w:r w:rsidR="00F16B72">
              <w:rPr>
                <w:rFonts w:eastAsia="新細明體" w:cstheme="minorHAnsi" w:hint="eastAsia"/>
                <w:color w:val="222222"/>
                <w:kern w:val="0"/>
                <w:szCs w:val="24"/>
              </w:rPr>
              <w:t xml:space="preserve"> </w:t>
            </w:r>
            <w:r w:rsidR="00F16B72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In the univariate logistic regression, </w:t>
            </w:r>
            <w:r w:rsidR="00C756A9">
              <w:rPr>
                <w:rFonts w:eastAsia="新細明體" w:cstheme="minorHAnsi"/>
                <w:color w:val="222222"/>
                <w:kern w:val="0"/>
                <w:szCs w:val="24"/>
              </w:rPr>
              <w:t>being underweight remained borderline associated with extubation failure (</w:t>
            </w:r>
            <w:r w:rsidR="00C756A9" w:rsidRPr="00C756A9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OR compared to </w:t>
            </w:r>
            <w:proofErr w:type="spellStart"/>
            <w:r w:rsidR="00C756A9" w:rsidRPr="00C756A9">
              <w:rPr>
                <w:rFonts w:eastAsia="新細明體" w:cstheme="minorHAnsi"/>
                <w:color w:val="222222"/>
                <w:kern w:val="0"/>
                <w:szCs w:val="24"/>
              </w:rPr>
              <w:t>normoweight</w:t>
            </w:r>
            <w:proofErr w:type="spellEnd"/>
            <w:r w:rsidR="00C756A9" w:rsidRPr="00C756A9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patients, </w:t>
            </w:r>
            <w:r>
              <w:rPr>
                <w:rFonts w:eastAsia="新細明體" w:cstheme="minorHAnsi"/>
                <w:color w:val="222222"/>
                <w:kern w:val="0"/>
                <w:szCs w:val="24"/>
              </w:rPr>
              <w:t>3.37</w:t>
            </w:r>
            <w:r w:rsidR="00C756A9" w:rsidRPr="00C756A9">
              <w:rPr>
                <w:rFonts w:eastAsia="新細明體" w:cstheme="minorHAnsi"/>
                <w:color w:val="222222"/>
                <w:kern w:val="0"/>
                <w:szCs w:val="24"/>
              </w:rPr>
              <w:t>; 95% CI, 0.</w:t>
            </w:r>
            <w:r>
              <w:rPr>
                <w:rFonts w:eastAsia="新細明體" w:cstheme="minorHAnsi"/>
                <w:color w:val="222222"/>
                <w:kern w:val="0"/>
                <w:szCs w:val="24"/>
              </w:rPr>
              <w:t>86</w:t>
            </w:r>
            <w:r w:rsidR="00C756A9" w:rsidRPr="00C756A9">
              <w:rPr>
                <w:rFonts w:eastAsia="新細明體" w:cstheme="minorHAnsi"/>
                <w:color w:val="222222"/>
                <w:kern w:val="0"/>
                <w:szCs w:val="24"/>
              </w:rPr>
              <w:t>-</w:t>
            </w:r>
            <w:r>
              <w:rPr>
                <w:rFonts w:eastAsia="新細明體" w:cstheme="minorHAnsi"/>
                <w:color w:val="222222"/>
                <w:kern w:val="0"/>
                <w:szCs w:val="24"/>
              </w:rPr>
              <w:t>13</w:t>
            </w:r>
            <w:r w:rsidR="00C756A9" w:rsidRPr="00C756A9">
              <w:rPr>
                <w:rFonts w:eastAsia="新細明體" w:cstheme="minorHAnsi"/>
                <w:color w:val="222222"/>
                <w:kern w:val="0"/>
                <w:szCs w:val="24"/>
              </w:rPr>
              <w:t>.</w:t>
            </w:r>
            <w:r>
              <w:rPr>
                <w:rFonts w:eastAsia="新細明體" w:cstheme="minorHAnsi"/>
                <w:color w:val="222222"/>
                <w:kern w:val="0"/>
                <w:szCs w:val="24"/>
              </w:rPr>
              <w:t>2; p=0.08</w:t>
            </w:r>
            <w:r w:rsidR="00C756A9" w:rsidRPr="00C756A9">
              <w:rPr>
                <w:rFonts w:eastAsia="新細明體" w:cstheme="minorHAnsi"/>
                <w:color w:val="222222"/>
                <w:kern w:val="0"/>
                <w:szCs w:val="24"/>
              </w:rPr>
              <w:t>)</w:t>
            </w:r>
            <w:r>
              <w:rPr>
                <w:rFonts w:eastAsia="新細明體" w:cstheme="minorHAnsi"/>
                <w:color w:val="222222"/>
                <w:kern w:val="0"/>
                <w:szCs w:val="24"/>
              </w:rPr>
              <w:t>.</w:t>
            </w:r>
            <w:r w:rsidR="00F16B72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This additional analysis </w:t>
            </w:r>
            <w:proofErr w:type="gramStart"/>
            <w:r w:rsidR="00F16B72">
              <w:rPr>
                <w:rFonts w:eastAsia="新細明體" w:cstheme="minorHAnsi"/>
                <w:color w:val="222222"/>
                <w:kern w:val="0"/>
                <w:szCs w:val="24"/>
              </w:rPr>
              <w:t>were</w:t>
            </w:r>
            <w:proofErr w:type="gramEnd"/>
            <w:r w:rsidR="00F16B72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added in the result section.</w:t>
            </w:r>
          </w:p>
        </w:tc>
      </w:tr>
      <w:tr w:rsidR="00870D9A" w:rsidRPr="002A14EB" w:rsidTr="00AA147D">
        <w:tc>
          <w:tcPr>
            <w:tcW w:w="9781" w:type="dxa"/>
          </w:tcPr>
          <w:p w:rsidR="00870D9A" w:rsidRPr="002A14EB" w:rsidRDefault="00870D9A" w:rsidP="00870D9A">
            <w:pPr>
              <w:widowControl/>
              <w:shd w:val="clear" w:color="auto" w:fill="FFFFFF"/>
              <w:spacing w:beforeLines="100" w:before="360" w:afterLines="100" w:after="360" w:line="360" w:lineRule="auto"/>
              <w:contextualSpacing/>
              <w:rPr>
                <w:rFonts w:eastAsia="新細明體" w:cstheme="minorHAnsi"/>
                <w:b/>
                <w:bCs/>
                <w:color w:val="222222"/>
                <w:kern w:val="0"/>
                <w:szCs w:val="24"/>
              </w:rPr>
            </w:pP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lastRenderedPageBreak/>
              <w:t xml:space="preserve">In my opinion the results are presented in a better understandable way and also their conclusions are improved, by making possible other confounders more visible and proving more weight to the </w:t>
            </w:r>
            <w:proofErr w:type="spellStart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the</w:t>
            </w:r>
            <w:proofErr w:type="spellEnd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“underweight” aspects of their study, such as for instance ” We have changed the multivariate analysis and treated the BMI as categorical variables. In the new analysis, being underweight (using the WHO definition), is associated with </w:t>
            </w:r>
            <w:proofErr w:type="gramStart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an</w:t>
            </w:r>
            <w:proofErr w:type="gramEnd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3.80 increase of risk of extubation failure when compared to those with normal weight (95% CI, 1.23-11.7). “</w:t>
            </w: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br/>
              <w:t>For instance, also table 3 now provides better valuable information supporting the conclusion.</w:t>
            </w: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br/>
            </w:r>
            <w:r w:rsidRPr="002A14EB">
              <w:rPr>
                <w:rFonts w:eastAsia="新細明體" w:cstheme="minorHAnsi"/>
                <w:b/>
                <w:bCs/>
                <w:color w:val="222222"/>
                <w:kern w:val="0"/>
                <w:szCs w:val="24"/>
              </w:rPr>
              <w:t>Response:</w:t>
            </w:r>
          </w:p>
          <w:p w:rsidR="00870D9A" w:rsidRPr="000B2FF5" w:rsidRDefault="00870D9A" w:rsidP="00870D9A">
            <w:pPr>
              <w:widowControl/>
              <w:shd w:val="clear" w:color="auto" w:fill="FFFFFF"/>
              <w:spacing w:beforeLines="100" w:before="360" w:afterLines="100" w:after="360" w:line="360" w:lineRule="auto"/>
              <w:ind w:firstLineChars="200" w:firstLine="480"/>
              <w:contextualSpacing/>
              <w:rPr>
                <w:rFonts w:eastAsia="新細明體" w:cstheme="minorHAnsi"/>
                <w:color w:val="222222"/>
                <w:kern w:val="0"/>
                <w:szCs w:val="24"/>
              </w:rPr>
            </w:pPr>
            <w:r w:rsidRPr="002A14EB">
              <w:rPr>
                <w:rFonts w:eastAsia="新細明體" w:cstheme="minorHAnsi" w:hint="eastAsia"/>
                <w:color w:val="222222"/>
                <w:kern w:val="0"/>
                <w:szCs w:val="24"/>
              </w:rPr>
              <w:t>T</w:t>
            </w:r>
            <w:r w:rsidRPr="002A14EB">
              <w:rPr>
                <w:rFonts w:eastAsia="新細明體" w:cstheme="minorHAnsi"/>
                <w:color w:val="222222"/>
                <w:kern w:val="0"/>
                <w:szCs w:val="24"/>
              </w:rPr>
              <w:t>hank yo</w:t>
            </w:r>
            <w:r>
              <w:rPr>
                <w:rFonts w:eastAsia="新細明體" w:cstheme="minorHAnsi"/>
                <w:color w:val="222222"/>
                <w:kern w:val="0"/>
                <w:szCs w:val="24"/>
              </w:rPr>
              <w:t>u for the comments and helping us improving the manuscript.</w:t>
            </w:r>
          </w:p>
        </w:tc>
      </w:tr>
      <w:tr w:rsidR="00705E48" w:rsidRPr="002A14EB" w:rsidTr="00AA147D">
        <w:tc>
          <w:tcPr>
            <w:tcW w:w="9781" w:type="dxa"/>
          </w:tcPr>
          <w:p w:rsidR="000B2FF5" w:rsidRPr="000B2FF5" w:rsidRDefault="000B2FF5" w:rsidP="000B2FF5">
            <w:pPr>
              <w:widowControl/>
              <w:shd w:val="clear" w:color="auto" w:fill="FFFFFF"/>
              <w:spacing w:beforeLines="100" w:before="360" w:afterLines="100" w:after="360" w:line="360" w:lineRule="auto"/>
              <w:contextualSpacing/>
              <w:rPr>
                <w:rFonts w:eastAsia="新細明體" w:cstheme="minorHAnsi"/>
                <w:color w:val="222222"/>
                <w:kern w:val="0"/>
                <w:szCs w:val="24"/>
              </w:rPr>
            </w:pP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Minor remarks</w:t>
            </w: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br/>
              <w:t>P6 “…and a lower Glasgow come scale …“ change come into coma</w:t>
            </w: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br/>
              <w:t>P11 “…succeed on their second attempt” change succeed into past tense succeed</w:t>
            </w: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br/>
              <w:t xml:space="preserve">P16 “…while being underweight was had borderline association (OR compared to </w:t>
            </w:r>
            <w:proofErr w:type="spellStart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normoweight</w:t>
            </w:r>
            <w:proofErr w:type="spellEnd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patients, 2.67; 95% CI, 0.97-7.35)” remove here the word “was”</w:t>
            </w: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br/>
              <w:t>Ad Table 3 please provide in a legend or other remark what is meant with the asterisk * within the table?</w:t>
            </w: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br/>
              <w:t>P19 post-operative may be written as postoperative</w:t>
            </w: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br/>
              <w:t xml:space="preserve">P23 “…might differ across among different…”change sentence into “Finally, since the weight </w:t>
            </w: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lastRenderedPageBreak/>
              <w:t>distribution may differ between different countries or ethnicities, our results should be generalized with caution between different population groups.”</w:t>
            </w:r>
          </w:p>
          <w:p w:rsidR="00705E48" w:rsidRPr="002A14EB" w:rsidRDefault="00705E48" w:rsidP="00AA147D">
            <w:pPr>
              <w:widowControl/>
              <w:shd w:val="clear" w:color="auto" w:fill="FFFFFF"/>
              <w:spacing w:beforeLines="100" w:before="360" w:afterLines="100" w:after="360" w:line="360" w:lineRule="auto"/>
              <w:contextualSpacing/>
              <w:rPr>
                <w:rFonts w:eastAsia="新細明體" w:cstheme="minorHAnsi"/>
                <w:b/>
                <w:color w:val="000000" w:themeColor="text1"/>
                <w:kern w:val="0"/>
                <w:szCs w:val="24"/>
              </w:rPr>
            </w:pPr>
            <w:r w:rsidRPr="002A14EB">
              <w:rPr>
                <w:rFonts w:eastAsia="新細明體" w:cstheme="minorHAnsi" w:hint="eastAsia"/>
                <w:b/>
                <w:color w:val="000000" w:themeColor="text1"/>
                <w:kern w:val="0"/>
                <w:szCs w:val="24"/>
              </w:rPr>
              <w:t>R</w:t>
            </w:r>
            <w:r w:rsidRPr="002A14EB">
              <w:rPr>
                <w:rFonts w:eastAsia="新細明體" w:cstheme="minorHAnsi"/>
                <w:b/>
                <w:color w:val="000000" w:themeColor="text1"/>
                <w:kern w:val="0"/>
                <w:szCs w:val="24"/>
              </w:rPr>
              <w:t>esponse:</w:t>
            </w:r>
          </w:p>
          <w:p w:rsidR="00705E48" w:rsidRPr="002A14EB" w:rsidRDefault="00705E48" w:rsidP="00537829">
            <w:pPr>
              <w:widowControl/>
              <w:shd w:val="clear" w:color="auto" w:fill="FFFFFF"/>
              <w:spacing w:beforeLines="100" w:before="360" w:afterLines="100" w:after="360" w:line="360" w:lineRule="auto"/>
              <w:ind w:firstLineChars="200" w:firstLine="480"/>
              <w:contextualSpacing/>
              <w:rPr>
                <w:rFonts w:eastAsia="新細明體" w:cstheme="minorHAnsi"/>
                <w:bCs/>
                <w:color w:val="000000" w:themeColor="text1"/>
                <w:kern w:val="0"/>
                <w:szCs w:val="24"/>
              </w:rPr>
            </w:pPr>
            <w:r w:rsidRPr="002A14EB">
              <w:rPr>
                <w:rFonts w:eastAsia="新細明體" w:cstheme="minorHAnsi" w:hint="eastAsia"/>
                <w:bCs/>
                <w:color w:val="000000" w:themeColor="text1"/>
                <w:kern w:val="0"/>
                <w:szCs w:val="24"/>
              </w:rPr>
              <w:t>T</w:t>
            </w:r>
            <w:r w:rsidRPr="002A14EB">
              <w:rPr>
                <w:rFonts w:eastAsia="新細明體" w:cstheme="minorHAnsi"/>
                <w:bCs/>
                <w:color w:val="000000" w:themeColor="text1"/>
                <w:kern w:val="0"/>
                <w:szCs w:val="24"/>
              </w:rPr>
              <w:t xml:space="preserve">hank you for the </w:t>
            </w:r>
            <w:r w:rsidR="00BC6FE8">
              <w:rPr>
                <w:rFonts w:eastAsia="新細明體" w:cstheme="minorHAnsi"/>
                <w:bCs/>
                <w:color w:val="000000" w:themeColor="text1"/>
                <w:kern w:val="0"/>
                <w:szCs w:val="24"/>
              </w:rPr>
              <w:t>correction. The text was amended accordingly.</w:t>
            </w:r>
          </w:p>
        </w:tc>
      </w:tr>
      <w:tr w:rsidR="000B2FF5" w:rsidRPr="002A14EB" w:rsidTr="00AA147D">
        <w:tc>
          <w:tcPr>
            <w:tcW w:w="9781" w:type="dxa"/>
          </w:tcPr>
          <w:p w:rsidR="00BC6FE8" w:rsidRDefault="00BC6FE8" w:rsidP="000B2FF5">
            <w:pPr>
              <w:widowControl/>
              <w:shd w:val="clear" w:color="auto" w:fill="FFFFFF"/>
              <w:spacing w:beforeLines="100" w:before="360" w:afterLines="100" w:after="360" w:line="360" w:lineRule="auto"/>
              <w:contextualSpacing/>
              <w:rPr>
                <w:rFonts w:eastAsia="新細明體" w:cstheme="minorHAnsi"/>
                <w:color w:val="222222"/>
                <w:kern w:val="0"/>
                <w:szCs w:val="24"/>
              </w:rPr>
            </w:pPr>
            <w:r>
              <w:rPr>
                <w:rFonts w:eastAsia="新細明體" w:cstheme="minorHAnsi"/>
                <w:color w:val="222222"/>
                <w:kern w:val="0"/>
                <w:szCs w:val="24"/>
              </w:rPr>
              <w:lastRenderedPageBreak/>
              <w:t xml:space="preserve">In the reference </w:t>
            </w:r>
          </w:p>
          <w:p w:rsidR="00BC6FE8" w:rsidRDefault="00BC6FE8" w:rsidP="000B2FF5">
            <w:pPr>
              <w:widowControl/>
              <w:shd w:val="clear" w:color="auto" w:fill="FFFFFF"/>
              <w:spacing w:beforeLines="100" w:before="360" w:afterLines="100" w:after="360" w:line="360" w:lineRule="auto"/>
              <w:contextualSpacing/>
              <w:rPr>
                <w:rFonts w:eastAsia="新細明體" w:cstheme="minorHAnsi"/>
                <w:color w:val="222222"/>
                <w:kern w:val="0"/>
                <w:szCs w:val="24"/>
              </w:rPr>
            </w:pP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For </w:t>
            </w:r>
            <w:proofErr w:type="gramStart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instance</w:t>
            </w:r>
            <w:proofErr w:type="gramEnd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Ref 25</w:t>
            </w:r>
            <w:r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</w:t>
            </w: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=</w:t>
            </w:r>
            <w:r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R</w:t>
            </w: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ef</w:t>
            </w:r>
            <w:r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</w:t>
            </w: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35</w:t>
            </w:r>
            <w:r>
              <w:rPr>
                <w:rFonts w:eastAsia="新細明體" w:cstheme="minorHAnsi"/>
                <w:color w:val="222222"/>
                <w:kern w:val="0"/>
                <w:szCs w:val="24"/>
              </w:rPr>
              <w:t xml:space="preserve">, </w:t>
            </w: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please check total list for possible doubles and the right presentation?</w:t>
            </w:r>
          </w:p>
          <w:p w:rsidR="000B2FF5" w:rsidRDefault="000B2FF5" w:rsidP="000B2FF5">
            <w:pPr>
              <w:widowControl/>
              <w:shd w:val="clear" w:color="auto" w:fill="FFFFFF"/>
              <w:spacing w:beforeLines="100" w:before="360" w:afterLines="100" w:after="360" w:line="360" w:lineRule="auto"/>
              <w:contextualSpacing/>
              <w:rPr>
                <w:rFonts w:eastAsia="新細明體" w:cstheme="minorHAnsi"/>
                <w:color w:val="222222"/>
                <w:kern w:val="0"/>
                <w:szCs w:val="24"/>
              </w:rPr>
            </w:pPr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Moreover, this reference is not numbered! “</w:t>
            </w:r>
            <w:proofErr w:type="spellStart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Nemer</w:t>
            </w:r>
            <w:proofErr w:type="spellEnd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SN, </w:t>
            </w:r>
            <w:proofErr w:type="spellStart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Barbas</w:t>
            </w:r>
            <w:proofErr w:type="spellEnd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CS, </w:t>
            </w:r>
            <w:proofErr w:type="spellStart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Caldeira</w:t>
            </w:r>
            <w:proofErr w:type="spellEnd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JB, </w:t>
            </w:r>
            <w:proofErr w:type="spellStart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Guimarães</w:t>
            </w:r>
            <w:proofErr w:type="spellEnd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B, </w:t>
            </w:r>
            <w:proofErr w:type="spellStart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Azeredo</w:t>
            </w:r>
            <w:proofErr w:type="spellEnd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LM, Gago R, et al. Evaluation of maximal inspiratory pressure, tracheal airway occlusion pressure, and its ratio in the weaning outcome. J </w:t>
            </w:r>
            <w:proofErr w:type="spellStart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>Crit</w:t>
            </w:r>
            <w:proofErr w:type="spellEnd"/>
            <w:r w:rsidRPr="000B2FF5">
              <w:rPr>
                <w:rFonts w:eastAsia="新細明體" w:cstheme="minorHAnsi"/>
                <w:color w:val="222222"/>
                <w:kern w:val="0"/>
                <w:szCs w:val="24"/>
              </w:rPr>
              <w:t xml:space="preserve"> Care. 2009;24(3):441-6.”</w:t>
            </w:r>
          </w:p>
          <w:p w:rsidR="00BC6FE8" w:rsidRPr="002A14EB" w:rsidRDefault="00BC6FE8" w:rsidP="00BC6FE8">
            <w:pPr>
              <w:widowControl/>
              <w:shd w:val="clear" w:color="auto" w:fill="FFFFFF"/>
              <w:spacing w:beforeLines="100" w:before="360" w:afterLines="100" w:after="360" w:line="360" w:lineRule="auto"/>
              <w:contextualSpacing/>
              <w:rPr>
                <w:rFonts w:eastAsia="新細明體" w:cstheme="minorHAnsi"/>
                <w:b/>
                <w:color w:val="000000" w:themeColor="text1"/>
                <w:kern w:val="0"/>
                <w:szCs w:val="24"/>
              </w:rPr>
            </w:pPr>
            <w:r w:rsidRPr="002A14EB">
              <w:rPr>
                <w:rFonts w:eastAsia="新細明體" w:cstheme="minorHAnsi" w:hint="eastAsia"/>
                <w:b/>
                <w:color w:val="000000" w:themeColor="text1"/>
                <w:kern w:val="0"/>
                <w:szCs w:val="24"/>
              </w:rPr>
              <w:t>R</w:t>
            </w:r>
            <w:r w:rsidRPr="002A14EB">
              <w:rPr>
                <w:rFonts w:eastAsia="新細明體" w:cstheme="minorHAnsi"/>
                <w:b/>
                <w:color w:val="000000" w:themeColor="text1"/>
                <w:kern w:val="0"/>
                <w:szCs w:val="24"/>
              </w:rPr>
              <w:t>esponse:</w:t>
            </w:r>
          </w:p>
          <w:p w:rsidR="000B2FF5" w:rsidRPr="002A14EB" w:rsidRDefault="00BC6FE8" w:rsidP="00BC6FE8">
            <w:pPr>
              <w:widowControl/>
              <w:shd w:val="clear" w:color="auto" w:fill="FFFFFF"/>
              <w:spacing w:beforeLines="100" w:before="360" w:afterLines="100" w:after="360" w:line="360" w:lineRule="auto"/>
              <w:ind w:firstLineChars="200" w:firstLine="480"/>
              <w:contextualSpacing/>
              <w:rPr>
                <w:rFonts w:eastAsia="新細明體" w:cstheme="minorHAnsi"/>
                <w:color w:val="222222"/>
                <w:kern w:val="0"/>
                <w:szCs w:val="24"/>
              </w:rPr>
            </w:pPr>
            <w:r w:rsidRPr="002A14EB">
              <w:rPr>
                <w:rFonts w:eastAsia="新細明體" w:cstheme="minorHAnsi" w:hint="eastAsia"/>
                <w:bCs/>
                <w:color w:val="000000" w:themeColor="text1"/>
                <w:kern w:val="0"/>
                <w:szCs w:val="24"/>
              </w:rPr>
              <w:t>T</w:t>
            </w:r>
            <w:r w:rsidRPr="002A14EB">
              <w:rPr>
                <w:rFonts w:eastAsia="新細明體" w:cstheme="minorHAnsi"/>
                <w:bCs/>
                <w:color w:val="000000" w:themeColor="text1"/>
                <w:kern w:val="0"/>
                <w:szCs w:val="24"/>
              </w:rPr>
              <w:t xml:space="preserve">hank you for the </w:t>
            </w:r>
            <w:r>
              <w:rPr>
                <w:rFonts w:eastAsia="新細明體" w:cstheme="minorHAnsi"/>
                <w:bCs/>
                <w:color w:val="000000" w:themeColor="text1"/>
                <w:kern w:val="0"/>
                <w:szCs w:val="24"/>
              </w:rPr>
              <w:t xml:space="preserve">correction. </w:t>
            </w:r>
            <w:r>
              <w:rPr>
                <w:rFonts w:eastAsia="新細明體" w:cstheme="minorHAnsi"/>
                <w:bCs/>
                <w:color w:val="000000" w:themeColor="text1"/>
                <w:kern w:val="0"/>
                <w:szCs w:val="24"/>
              </w:rPr>
              <w:t>We have rechecked the order and listing of references.</w:t>
            </w:r>
          </w:p>
        </w:tc>
      </w:tr>
    </w:tbl>
    <w:p w:rsidR="00705E48" w:rsidRDefault="00705E48" w:rsidP="00705E48">
      <w:pPr>
        <w:widowControl/>
        <w:shd w:val="clear" w:color="auto" w:fill="FFFFFF"/>
        <w:spacing w:beforeLines="100" w:before="360" w:afterLines="100" w:after="360" w:line="360" w:lineRule="auto"/>
        <w:contextualSpacing/>
        <w:rPr>
          <w:rFonts w:eastAsia="新細明體" w:cstheme="minorHAnsi"/>
          <w:b/>
          <w:bCs/>
          <w:color w:val="222222"/>
          <w:kern w:val="0"/>
          <w:szCs w:val="24"/>
        </w:rPr>
      </w:pPr>
    </w:p>
    <w:p w:rsidR="00705E48" w:rsidRDefault="00705E48">
      <w:pPr>
        <w:widowControl/>
        <w:rPr>
          <w:rFonts w:eastAsia="新細明體" w:cstheme="minorHAnsi"/>
          <w:b/>
          <w:bCs/>
          <w:color w:val="222222"/>
          <w:kern w:val="0"/>
          <w:szCs w:val="24"/>
        </w:rPr>
      </w:pPr>
    </w:p>
    <w:sectPr w:rsidR="00705E4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47D6" w:rsidRDefault="008B47D6" w:rsidP="007D5468">
      <w:r>
        <w:separator/>
      </w:r>
    </w:p>
  </w:endnote>
  <w:endnote w:type="continuationSeparator" w:id="0">
    <w:p w:rsidR="008B47D6" w:rsidRDefault="008B47D6" w:rsidP="007D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iHeiPro">
    <w:altName w:val="Malgun Gothic Semilight"/>
    <w:panose1 w:val="020B0500000000000000"/>
    <w:charset w:val="88"/>
    <w:family w:val="swiss"/>
    <w:pitch w:val="variable"/>
    <w:sig w:usb0="80000001" w:usb1="280918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47D6" w:rsidRDefault="008B47D6" w:rsidP="007D5468">
      <w:r>
        <w:separator/>
      </w:r>
    </w:p>
  </w:footnote>
  <w:footnote w:type="continuationSeparator" w:id="0">
    <w:p w:rsidR="008B47D6" w:rsidRDefault="008B47D6" w:rsidP="007D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3977" w:rsidRPr="000B2FF5" w:rsidRDefault="00893977" w:rsidP="00893977">
    <w:pPr>
      <w:widowControl/>
      <w:rPr>
        <w:rFonts w:eastAsia="LiHeiPro" w:cstheme="minorHAnsi"/>
        <w:b/>
        <w:bCs/>
        <w:color w:val="000000"/>
        <w:kern w:val="0"/>
        <w:sz w:val="18"/>
        <w:szCs w:val="18"/>
        <w:lang w:bidi="bo-CN"/>
      </w:rPr>
    </w:pPr>
    <w:r w:rsidRPr="00893977">
      <w:rPr>
        <w:rFonts w:eastAsia="LiHeiPro" w:cstheme="minorHAnsi"/>
        <w:b/>
        <w:bCs/>
        <w:color w:val="000000"/>
        <w:kern w:val="0"/>
        <w:sz w:val="18"/>
        <w:szCs w:val="18"/>
        <w:lang w:bidi="bo-CN"/>
      </w:rPr>
      <w:t>PONE-D-22-30747R</w:t>
    </w:r>
    <w:r w:rsidR="000B2FF5">
      <w:rPr>
        <w:rFonts w:eastAsia="LiHeiPro" w:cstheme="minorHAnsi"/>
        <w:b/>
        <w:bCs/>
        <w:color w:val="000000"/>
        <w:kern w:val="0"/>
        <w:sz w:val="18"/>
        <w:szCs w:val="18"/>
        <w:lang w:bidi="bo-C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4F4"/>
    <w:multiLevelType w:val="hybridMultilevel"/>
    <w:tmpl w:val="EC9E1726"/>
    <w:lvl w:ilvl="0" w:tplc="B6628468">
      <w:start w:val="2"/>
      <w:numFmt w:val="bullet"/>
      <w:lvlText w:val="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FE62C9"/>
    <w:multiLevelType w:val="hybridMultilevel"/>
    <w:tmpl w:val="1E424860"/>
    <w:lvl w:ilvl="0" w:tplc="5F966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AA6429"/>
    <w:multiLevelType w:val="hybridMultilevel"/>
    <w:tmpl w:val="F8BC0E86"/>
    <w:lvl w:ilvl="0" w:tplc="64381A94">
      <w:numFmt w:val="bullet"/>
      <w:lvlText w:val=""/>
      <w:lvlJc w:val="left"/>
      <w:pPr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087C15"/>
    <w:multiLevelType w:val="hybridMultilevel"/>
    <w:tmpl w:val="F85EE4FE"/>
    <w:lvl w:ilvl="0" w:tplc="99CA6A5A">
      <w:numFmt w:val="bullet"/>
      <w:lvlText w:val=""/>
      <w:lvlJc w:val="left"/>
      <w:pPr>
        <w:ind w:left="360" w:hanging="360"/>
      </w:pPr>
      <w:rPr>
        <w:rFonts w:ascii="Wingdings" w:eastAsia="新細明體" w:hAnsi="Wingdings" w:cs="Arial" w:hint="default"/>
      </w:rPr>
    </w:lvl>
    <w:lvl w:ilvl="1" w:tplc="84449880">
      <w:numFmt w:val="bullet"/>
      <w:lvlText w:val=""/>
      <w:lvlJc w:val="left"/>
      <w:pPr>
        <w:ind w:left="840" w:hanging="360"/>
      </w:pPr>
      <w:rPr>
        <w:rFonts w:ascii="Wingdings" w:eastAsia="新細明體" w:hAnsi="Wingdings" w:cs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364877"/>
    <w:multiLevelType w:val="hybridMultilevel"/>
    <w:tmpl w:val="1B166678"/>
    <w:lvl w:ilvl="0" w:tplc="97088AC4">
      <w:start w:val="2"/>
      <w:numFmt w:val="bullet"/>
      <w:lvlText w:val=""/>
      <w:lvlJc w:val="left"/>
      <w:pPr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A5"/>
    <w:rsid w:val="00026EB7"/>
    <w:rsid w:val="00032C03"/>
    <w:rsid w:val="000469DA"/>
    <w:rsid w:val="000824CC"/>
    <w:rsid w:val="000B2FF5"/>
    <w:rsid w:val="00114801"/>
    <w:rsid w:val="00135EC6"/>
    <w:rsid w:val="00146405"/>
    <w:rsid w:val="00163AC7"/>
    <w:rsid w:val="0019736F"/>
    <w:rsid w:val="001D646B"/>
    <w:rsid w:val="00207FF1"/>
    <w:rsid w:val="0023317A"/>
    <w:rsid w:val="00252147"/>
    <w:rsid w:val="0026771F"/>
    <w:rsid w:val="002A13B6"/>
    <w:rsid w:val="002A14EB"/>
    <w:rsid w:val="002C140B"/>
    <w:rsid w:val="002C28D2"/>
    <w:rsid w:val="002D029C"/>
    <w:rsid w:val="002F09A9"/>
    <w:rsid w:val="002F5267"/>
    <w:rsid w:val="00311698"/>
    <w:rsid w:val="00321B42"/>
    <w:rsid w:val="00337E87"/>
    <w:rsid w:val="00342AB2"/>
    <w:rsid w:val="00361A52"/>
    <w:rsid w:val="00390BE2"/>
    <w:rsid w:val="003A6F5E"/>
    <w:rsid w:val="003D0198"/>
    <w:rsid w:val="003E63A1"/>
    <w:rsid w:val="00406360"/>
    <w:rsid w:val="00416A4D"/>
    <w:rsid w:val="00416CCE"/>
    <w:rsid w:val="00473B1D"/>
    <w:rsid w:val="00495984"/>
    <w:rsid w:val="004A00E9"/>
    <w:rsid w:val="004A4132"/>
    <w:rsid w:val="004C0E2B"/>
    <w:rsid w:val="004C29B4"/>
    <w:rsid w:val="004D0E90"/>
    <w:rsid w:val="004D1D23"/>
    <w:rsid w:val="004E141F"/>
    <w:rsid w:val="004E31A5"/>
    <w:rsid w:val="00532CCF"/>
    <w:rsid w:val="00537829"/>
    <w:rsid w:val="00546C4A"/>
    <w:rsid w:val="00563A92"/>
    <w:rsid w:val="00581682"/>
    <w:rsid w:val="00583A74"/>
    <w:rsid w:val="0059612F"/>
    <w:rsid w:val="005A6DC9"/>
    <w:rsid w:val="005C51BB"/>
    <w:rsid w:val="005E093D"/>
    <w:rsid w:val="00614BC4"/>
    <w:rsid w:val="00616644"/>
    <w:rsid w:val="00617ABC"/>
    <w:rsid w:val="00657AF6"/>
    <w:rsid w:val="0067521F"/>
    <w:rsid w:val="006B3650"/>
    <w:rsid w:val="006C58DC"/>
    <w:rsid w:val="006E6C07"/>
    <w:rsid w:val="006F4927"/>
    <w:rsid w:val="00705E48"/>
    <w:rsid w:val="00710BBA"/>
    <w:rsid w:val="007470C4"/>
    <w:rsid w:val="00761A7F"/>
    <w:rsid w:val="00775E3C"/>
    <w:rsid w:val="00785C55"/>
    <w:rsid w:val="007D292F"/>
    <w:rsid w:val="007D3185"/>
    <w:rsid w:val="007D5468"/>
    <w:rsid w:val="007D5C7A"/>
    <w:rsid w:val="007D6477"/>
    <w:rsid w:val="007F3FE8"/>
    <w:rsid w:val="007F7619"/>
    <w:rsid w:val="00817DA0"/>
    <w:rsid w:val="00835991"/>
    <w:rsid w:val="00844815"/>
    <w:rsid w:val="0085797E"/>
    <w:rsid w:val="0086124A"/>
    <w:rsid w:val="00867752"/>
    <w:rsid w:val="00870D9A"/>
    <w:rsid w:val="00871DCE"/>
    <w:rsid w:val="00877CF6"/>
    <w:rsid w:val="00893977"/>
    <w:rsid w:val="008A48DF"/>
    <w:rsid w:val="008A4D28"/>
    <w:rsid w:val="008A6301"/>
    <w:rsid w:val="008B47D6"/>
    <w:rsid w:val="008D3426"/>
    <w:rsid w:val="008F4716"/>
    <w:rsid w:val="00904B73"/>
    <w:rsid w:val="00921F5E"/>
    <w:rsid w:val="009521F9"/>
    <w:rsid w:val="009A12DA"/>
    <w:rsid w:val="009C3CF8"/>
    <w:rsid w:val="009E5325"/>
    <w:rsid w:val="00A043B2"/>
    <w:rsid w:val="00A36B25"/>
    <w:rsid w:val="00A5413D"/>
    <w:rsid w:val="00A56A20"/>
    <w:rsid w:val="00A75D25"/>
    <w:rsid w:val="00AB3485"/>
    <w:rsid w:val="00AD0466"/>
    <w:rsid w:val="00AE1087"/>
    <w:rsid w:val="00AF1882"/>
    <w:rsid w:val="00B02810"/>
    <w:rsid w:val="00B12B37"/>
    <w:rsid w:val="00B33352"/>
    <w:rsid w:val="00B36B5D"/>
    <w:rsid w:val="00B76414"/>
    <w:rsid w:val="00BA0BCE"/>
    <w:rsid w:val="00BB37BC"/>
    <w:rsid w:val="00BC6FE8"/>
    <w:rsid w:val="00BD6FCE"/>
    <w:rsid w:val="00BD707A"/>
    <w:rsid w:val="00BF5F14"/>
    <w:rsid w:val="00C31CCF"/>
    <w:rsid w:val="00C33BC8"/>
    <w:rsid w:val="00C756A9"/>
    <w:rsid w:val="00C817BF"/>
    <w:rsid w:val="00C81AAA"/>
    <w:rsid w:val="00C83FC8"/>
    <w:rsid w:val="00CA0D78"/>
    <w:rsid w:val="00D06954"/>
    <w:rsid w:val="00D11ECE"/>
    <w:rsid w:val="00D2155A"/>
    <w:rsid w:val="00D37943"/>
    <w:rsid w:val="00D90967"/>
    <w:rsid w:val="00D961FB"/>
    <w:rsid w:val="00D97D82"/>
    <w:rsid w:val="00DD7E0E"/>
    <w:rsid w:val="00DE30C6"/>
    <w:rsid w:val="00E008C8"/>
    <w:rsid w:val="00E441E3"/>
    <w:rsid w:val="00E50972"/>
    <w:rsid w:val="00E62D0B"/>
    <w:rsid w:val="00EA0CED"/>
    <w:rsid w:val="00EB4A54"/>
    <w:rsid w:val="00EC6E70"/>
    <w:rsid w:val="00F03C35"/>
    <w:rsid w:val="00F07C70"/>
    <w:rsid w:val="00F16B72"/>
    <w:rsid w:val="00F22916"/>
    <w:rsid w:val="00F363B7"/>
    <w:rsid w:val="00F8186D"/>
    <w:rsid w:val="00F958A9"/>
    <w:rsid w:val="00F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420D8"/>
  <w15:chartTrackingRefBased/>
  <w15:docId w15:val="{86FBEE7E-EEAA-4073-B18A-51347DF8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A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D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54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546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5D"/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6B5D"/>
    <w:rPr>
      <w:rFonts w:ascii="新細明體" w:eastAsia="新細明體"/>
      <w:sz w:val="18"/>
      <w:szCs w:val="18"/>
    </w:rPr>
  </w:style>
  <w:style w:type="table" w:styleId="aa">
    <w:name w:val="Table Grid"/>
    <w:basedOn w:val="a1"/>
    <w:uiPriority w:val="39"/>
    <w:rsid w:val="007D5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252147"/>
    <w:rPr>
      <w:i/>
      <w:iCs/>
    </w:rPr>
  </w:style>
  <w:style w:type="character" w:styleId="ac">
    <w:name w:val="Hyperlink"/>
    <w:basedOn w:val="a0"/>
    <w:uiPriority w:val="99"/>
    <w:unhideWhenUsed/>
    <w:rsid w:val="00252147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A1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Guan-Jhou Chen</cp:lastModifiedBy>
  <cp:revision>7</cp:revision>
  <dcterms:created xsi:type="dcterms:W3CDTF">2023-01-18T14:46:00Z</dcterms:created>
  <dcterms:modified xsi:type="dcterms:W3CDTF">2023-03-15T14:33:00Z</dcterms:modified>
</cp:coreProperties>
</file>