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1001" w14:textId="33574510" w:rsidR="0021530E" w:rsidRDefault="00B853AF">
      <w:pPr>
        <w:pStyle w:val="HTML"/>
        <w:snapToGrid w:val="0"/>
        <w:spacing w:before="100" w:beforeAutospacing="1" w:after="100" w:afterAutospacing="1" w:line="360" w:lineRule="auto"/>
        <w:jc w:val="both"/>
        <w:rPr>
          <w:rFonts w:ascii="Arial" w:hAnsi="Arial" w:cs="Arial" w:hint="default"/>
        </w:rPr>
      </w:pPr>
      <w:bookmarkStart w:id="0" w:name="OLE_LINK14"/>
      <w:bookmarkStart w:id="1" w:name="OLE_LINK15"/>
      <w:r>
        <w:rPr>
          <w:rFonts w:ascii="Arial" w:hAnsi="Arial" w:cs="Arial"/>
        </w:rPr>
        <w:t>Mar</w:t>
      </w:r>
      <w:r>
        <w:rPr>
          <w:rFonts w:ascii="Arial" w:hAnsi="Arial" w:cs="Arial" w:hint="default"/>
        </w:rPr>
        <w:t xml:space="preserve"> </w:t>
      </w:r>
      <w:r w:rsidR="00442352">
        <w:rPr>
          <w:rFonts w:ascii="Arial" w:hAnsi="Arial" w:cs="Arial" w:hint="default"/>
        </w:rPr>
        <w:t>13</w:t>
      </w:r>
      <w:r>
        <w:rPr>
          <w:rFonts w:ascii="Arial" w:hAnsi="Arial" w:cs="Arial"/>
        </w:rPr>
        <w:t>th</w:t>
      </w:r>
      <w:r>
        <w:rPr>
          <w:rFonts w:ascii="Arial" w:hAnsi="Arial" w:cs="Arial" w:hint="default"/>
        </w:rPr>
        <w:t>, 2021</w:t>
      </w:r>
    </w:p>
    <w:p w14:paraId="4374A8CA" w14:textId="77777777" w:rsidR="0021530E" w:rsidRDefault="00B853AF">
      <w:pPr>
        <w:pStyle w:val="HTML"/>
        <w:snapToGrid w:val="0"/>
        <w:spacing w:before="100" w:beforeAutospacing="1" w:after="100" w:afterAutospacing="1" w:line="360" w:lineRule="auto"/>
        <w:jc w:val="both"/>
        <w:rPr>
          <w:rFonts w:ascii="Arial" w:hAnsi="Arial" w:cs="Arial" w:hint="default"/>
          <w:color w:val="000000"/>
        </w:rPr>
      </w:pPr>
      <w:r>
        <w:rPr>
          <w:rFonts w:ascii="Arial" w:hAnsi="Arial" w:cs="Arial"/>
          <w:color w:val="000000"/>
        </w:rPr>
        <w:t>John M. Streicher</w:t>
      </w:r>
      <w:r>
        <w:rPr>
          <w:rFonts w:ascii="Arial" w:hAnsi="Arial" w:cs="Arial" w:hint="default"/>
          <w:color w:val="000000"/>
        </w:rPr>
        <w:t>, Ph.D.</w:t>
      </w:r>
      <w:r>
        <w:rPr>
          <w:rFonts w:ascii="Arial" w:hAnsi="Arial" w:cs="Arial" w:hint="default"/>
          <w:color w:val="000000"/>
        </w:rPr>
        <w:br/>
      </w:r>
      <w:r>
        <w:rPr>
          <w:rFonts w:ascii="Arial" w:hAnsi="Arial" w:cs="Arial"/>
          <w:color w:val="000000"/>
        </w:rPr>
        <w:t>Academic</w:t>
      </w:r>
      <w:r>
        <w:rPr>
          <w:rFonts w:ascii="Arial" w:hAnsi="Arial" w:cs="Arial" w:hint="default"/>
          <w:color w:val="000000"/>
        </w:rPr>
        <w:t xml:space="preserve"> Editor</w:t>
      </w:r>
      <w:r>
        <w:rPr>
          <w:rFonts w:ascii="Arial" w:hAnsi="Arial" w:cs="Arial" w:hint="default"/>
          <w:color w:val="000000"/>
        </w:rPr>
        <w:br/>
        <w:t>PLOS ONE</w:t>
      </w:r>
    </w:p>
    <w:p w14:paraId="6D7C3096" w14:textId="77777777" w:rsidR="0021530E" w:rsidRDefault="00B853AF">
      <w:pPr>
        <w:pStyle w:val="HTML"/>
        <w:snapToGrid w:val="0"/>
        <w:spacing w:before="100" w:beforeAutospacing="1" w:after="100" w:afterAutospacing="1" w:line="360" w:lineRule="auto"/>
        <w:jc w:val="both"/>
        <w:rPr>
          <w:rFonts w:ascii="Arial" w:hAnsi="Arial" w:cs="Arial" w:hint="default"/>
        </w:rPr>
      </w:pPr>
      <w:r>
        <w:rPr>
          <w:rFonts w:ascii="Arial" w:hAnsi="Arial" w:cs="Arial" w:hint="default"/>
        </w:rPr>
        <w:t xml:space="preserve">Dear </w:t>
      </w:r>
      <w:r>
        <w:rPr>
          <w:rFonts w:ascii="Arial" w:hAnsi="Arial" w:cs="Arial" w:hint="default"/>
          <w:color w:val="000000"/>
        </w:rPr>
        <w:t xml:space="preserve">Dr. </w:t>
      </w:r>
      <w:r>
        <w:rPr>
          <w:rFonts w:ascii="Arial" w:hAnsi="Arial" w:cs="Arial"/>
          <w:color w:val="000000"/>
        </w:rPr>
        <w:t>Streiche</w:t>
      </w:r>
      <w:r>
        <w:rPr>
          <w:rFonts w:ascii="Arial" w:hAnsi="Arial" w:cs="Arial" w:hint="default"/>
          <w:color w:val="000000"/>
        </w:rPr>
        <w:t>r,</w:t>
      </w:r>
    </w:p>
    <w:p w14:paraId="5060D736" w14:textId="77777777" w:rsidR="0021530E" w:rsidRDefault="00B853AF">
      <w:pPr>
        <w:pStyle w:val="HTML"/>
        <w:snapToGrid w:val="0"/>
        <w:spacing w:before="100" w:beforeAutospacing="1" w:after="100" w:afterAutospacing="1" w:line="360" w:lineRule="auto"/>
        <w:jc w:val="both"/>
        <w:rPr>
          <w:rFonts w:ascii="Arial" w:hAnsi="Arial" w:cs="Arial" w:hint="default"/>
        </w:rPr>
      </w:pPr>
      <w:r>
        <w:rPr>
          <w:rFonts w:ascii="Arial" w:hAnsi="Arial" w:cs="Arial" w:hint="default"/>
        </w:rPr>
        <w:t xml:space="preserve">Thank you very much for your consideration of our manuscript entitled </w:t>
      </w:r>
      <w:r>
        <w:rPr>
          <w:rFonts w:ascii="Arial" w:hAnsi="Arial" w:cs="Arial" w:hint="default"/>
          <w:b/>
          <w:u w:val="single"/>
        </w:rPr>
        <w:t>“</w:t>
      </w:r>
      <w:r>
        <w:rPr>
          <w:rFonts w:ascii="Arial" w:hAnsi="Arial" w:cs="Arial"/>
          <w:b/>
          <w:i/>
          <w:u w:val="single"/>
        </w:rPr>
        <w:t>Comparison of Analgesic Activities of Aconitine in Different Mice Pain Models</w:t>
      </w:r>
      <w:r>
        <w:rPr>
          <w:rFonts w:ascii="Arial" w:hAnsi="Arial" w:cs="Arial" w:hint="default"/>
          <w:b/>
          <w:u w:val="single"/>
        </w:rPr>
        <w:t>” (</w:t>
      </w:r>
      <w:bookmarkStart w:id="2" w:name="OLE_LINK9"/>
      <w:bookmarkStart w:id="3" w:name="OLE_LINK10"/>
      <w:r>
        <w:rPr>
          <w:rFonts w:ascii="Arial" w:hAnsi="Arial" w:cs="Arial" w:hint="default"/>
          <w:b/>
          <w:u w:val="single"/>
        </w:rPr>
        <w:t>ID</w:t>
      </w:r>
      <w:bookmarkEnd w:id="2"/>
      <w:bookmarkEnd w:id="3"/>
      <w:r>
        <w:rPr>
          <w:rFonts w:ascii="Arial" w:hAnsi="Arial" w:cs="Arial" w:hint="default"/>
          <w:b/>
          <w:u w:val="single"/>
        </w:rPr>
        <w:t xml:space="preserve">: </w:t>
      </w:r>
      <w:r>
        <w:rPr>
          <w:rFonts w:ascii="Arial" w:hAnsi="Arial" w:cs="Arial"/>
          <w:b/>
          <w:u w:val="single"/>
        </w:rPr>
        <w:t>PONE-D-20-32048</w:t>
      </w:r>
      <w:r>
        <w:rPr>
          <w:rFonts w:ascii="Arial" w:hAnsi="Arial" w:cs="Arial" w:hint="default"/>
          <w:b/>
          <w:u w:val="single"/>
        </w:rPr>
        <w:t>)</w:t>
      </w:r>
      <w:r>
        <w:rPr>
          <w:rFonts w:ascii="Arial" w:hAnsi="Arial" w:cs="Arial" w:hint="default"/>
        </w:rPr>
        <w:t xml:space="preserve"> to be published in </w:t>
      </w:r>
      <w:r>
        <w:rPr>
          <w:rFonts w:ascii="Arial" w:hAnsi="Arial" w:cs="Arial" w:hint="default"/>
          <w:b/>
          <w:i/>
          <w:color w:val="000000"/>
        </w:rPr>
        <w:t>PLOS ONE</w:t>
      </w:r>
      <w:r>
        <w:rPr>
          <w:rFonts w:ascii="Arial" w:hAnsi="Arial" w:cs="Arial" w:hint="default"/>
        </w:rPr>
        <w:t xml:space="preserve">. Also, we gratefully appreciate for all of the suggestions and comments from reviewers. Those comments are all valuable and very helpful for revising and improving our paper. We have studied comments carefully and have made corrections which we hope meet with approval. </w:t>
      </w:r>
      <w:r>
        <w:rPr>
          <w:rFonts w:ascii="Arial" w:hAnsi="Arial" w:cs="Arial"/>
        </w:rPr>
        <w:t>We have modified the article in revisions mode</w:t>
      </w:r>
      <w:r>
        <w:rPr>
          <w:rFonts w:ascii="Arial" w:hAnsi="Arial" w:cs="Arial" w:hint="default"/>
        </w:rPr>
        <w:t>.</w:t>
      </w:r>
      <w:r>
        <w:rPr>
          <w:rFonts w:ascii="Arial" w:hAnsi="Arial" w:cs="Arial"/>
        </w:rPr>
        <w:t xml:space="preserve"> </w:t>
      </w:r>
      <w:r>
        <w:rPr>
          <w:rFonts w:ascii="Arial" w:hAnsi="Arial" w:cs="Arial" w:hint="default"/>
        </w:rPr>
        <w:t xml:space="preserve">Our point-to-point responses to editor and the reviewers’ comments are shown below. We hope that the revised paper is sufficient for publication in </w:t>
      </w:r>
      <w:r>
        <w:rPr>
          <w:rFonts w:ascii="Arial" w:hAnsi="Arial" w:cs="Arial" w:hint="default"/>
          <w:b/>
          <w:i/>
          <w:color w:val="000000"/>
        </w:rPr>
        <w:t>PLOS ONE</w:t>
      </w:r>
      <w:r>
        <w:rPr>
          <w:rFonts w:ascii="Arial" w:hAnsi="Arial" w:cs="Arial" w:hint="default"/>
        </w:rPr>
        <w:t>.</w:t>
      </w:r>
    </w:p>
    <w:p w14:paraId="2E2D2209" w14:textId="77777777" w:rsidR="0021530E" w:rsidRDefault="00B853AF">
      <w:pPr>
        <w:pStyle w:val="HTML"/>
        <w:spacing w:before="100" w:beforeAutospacing="1" w:after="100" w:afterAutospacing="1" w:line="360" w:lineRule="auto"/>
        <w:jc w:val="both"/>
        <w:rPr>
          <w:rFonts w:ascii="Arial" w:hAnsi="Arial" w:cs="Arial" w:hint="default"/>
        </w:rPr>
      </w:pPr>
      <w:r>
        <w:rPr>
          <w:rFonts w:ascii="Arial" w:hAnsi="Arial" w:cs="Arial" w:hint="default"/>
        </w:rPr>
        <w:t>Best wishes!</w:t>
      </w:r>
    </w:p>
    <w:p w14:paraId="147F90EF" w14:textId="77777777" w:rsidR="0021530E" w:rsidRDefault="00B853AF">
      <w:pPr>
        <w:spacing w:before="100" w:beforeAutospacing="1" w:after="100" w:afterAutospacing="1" w:line="360" w:lineRule="auto"/>
        <w:outlineLvl w:val="0"/>
        <w:rPr>
          <w:rFonts w:ascii="Arial" w:hAnsi="Arial" w:cs="Arial"/>
          <w:sz w:val="24"/>
          <w:szCs w:val="24"/>
        </w:rPr>
      </w:pPr>
      <w:r>
        <w:rPr>
          <w:rFonts w:ascii="Arial" w:hAnsi="Arial" w:cs="Arial"/>
          <w:sz w:val="24"/>
          <w:szCs w:val="24"/>
        </w:rPr>
        <w:t>Regards,</w:t>
      </w:r>
    </w:p>
    <w:p w14:paraId="7CE7D63F" w14:textId="77777777" w:rsidR="0021530E" w:rsidRDefault="00B853AF">
      <w:pPr>
        <w:adjustRightInd w:val="0"/>
        <w:snapToGrid w:val="0"/>
        <w:spacing w:line="360" w:lineRule="auto"/>
        <w:outlineLvl w:val="0"/>
        <w:rPr>
          <w:rFonts w:ascii="Arial" w:eastAsia="等线" w:hAnsi="Arial" w:cs="Arial"/>
          <w:sz w:val="24"/>
          <w:szCs w:val="24"/>
        </w:rPr>
      </w:pPr>
      <w:r>
        <w:rPr>
          <w:rFonts w:ascii="Arial" w:eastAsia="等线" w:hAnsi="Arial" w:cs="Arial"/>
          <w:sz w:val="24"/>
          <w:szCs w:val="24"/>
        </w:rPr>
        <w:t xml:space="preserve">Qian Feng, Ph.D. </w:t>
      </w:r>
    </w:p>
    <w:p w14:paraId="65131C48" w14:textId="77777777" w:rsidR="0021530E" w:rsidRDefault="00B85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Pr>
          <w:rFonts w:ascii="Arial" w:eastAsia="宋体" w:hAnsi="Arial" w:cs="Arial"/>
          <w:kern w:val="0"/>
          <w:sz w:val="24"/>
          <w:szCs w:val="24"/>
        </w:rPr>
        <w:t xml:space="preserve">International Institute for Translational Chinese Medicine, </w:t>
      </w:r>
    </w:p>
    <w:p w14:paraId="2930D77D" w14:textId="77777777" w:rsidR="0021530E" w:rsidRDefault="00B85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Pr>
          <w:rFonts w:ascii="Arial" w:eastAsia="宋体" w:hAnsi="Arial" w:cs="Arial"/>
          <w:kern w:val="0"/>
          <w:sz w:val="24"/>
          <w:szCs w:val="24"/>
        </w:rPr>
        <w:t xml:space="preserve">Guangzhou University of Chinese Medicine, </w:t>
      </w:r>
    </w:p>
    <w:p w14:paraId="51C7AE60" w14:textId="77777777" w:rsidR="0021530E" w:rsidRDefault="00B85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Pr>
          <w:rFonts w:ascii="Arial" w:eastAsia="宋体" w:hAnsi="Arial" w:cs="Arial"/>
          <w:kern w:val="0"/>
          <w:sz w:val="24"/>
          <w:szCs w:val="24"/>
        </w:rPr>
        <w:t>Guangzhou, 510006, China</w:t>
      </w:r>
    </w:p>
    <w:p w14:paraId="74797C27" w14:textId="77777777" w:rsidR="0021530E" w:rsidRDefault="00B85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color w:val="00355C"/>
          <w:kern w:val="0"/>
          <w:sz w:val="24"/>
          <w:szCs w:val="24"/>
          <w:u w:val="single"/>
        </w:rPr>
      </w:pPr>
      <w:r>
        <w:rPr>
          <w:rFonts w:ascii="Arial" w:eastAsia="宋体" w:hAnsi="Arial" w:cs="Arial"/>
          <w:kern w:val="0"/>
          <w:sz w:val="24"/>
          <w:szCs w:val="24"/>
        </w:rPr>
        <w:t xml:space="preserve">Tel: +86-020-39358071;  Email: </w:t>
      </w:r>
      <w:r>
        <w:rPr>
          <w:rFonts w:ascii="Arial" w:eastAsia="宋体" w:hAnsi="Arial" w:cs="Arial"/>
          <w:color w:val="2E74B5"/>
          <w:kern w:val="0"/>
          <w:sz w:val="24"/>
          <w:szCs w:val="24"/>
          <w:u w:val="single"/>
        </w:rPr>
        <w:t>fengqian@gzucm.edu.cn</w:t>
      </w:r>
    </w:p>
    <w:bookmarkEnd w:id="0"/>
    <w:bookmarkEnd w:id="1"/>
    <w:p w14:paraId="739CD7DB" w14:textId="77777777" w:rsidR="0021530E" w:rsidRDefault="0021530E">
      <w:pPr>
        <w:widowControl/>
        <w:jc w:val="left"/>
        <w:rPr>
          <w:rFonts w:ascii="Tahoma" w:eastAsia="宋体" w:hAnsi="Tahoma" w:cs="Tahoma"/>
          <w:b/>
          <w:bCs/>
          <w:color w:val="000000"/>
          <w:kern w:val="0"/>
          <w:sz w:val="24"/>
          <w:szCs w:val="24"/>
        </w:rPr>
      </w:pPr>
    </w:p>
    <w:p w14:paraId="6311D7C7" w14:textId="77777777" w:rsidR="0021530E" w:rsidRDefault="0021530E">
      <w:pPr>
        <w:widowControl/>
        <w:jc w:val="left"/>
        <w:rPr>
          <w:rFonts w:ascii="Tahoma" w:eastAsia="宋体" w:hAnsi="Tahoma" w:cs="Tahoma"/>
          <w:b/>
          <w:bCs/>
          <w:color w:val="000000"/>
          <w:kern w:val="0"/>
          <w:sz w:val="24"/>
          <w:szCs w:val="24"/>
        </w:rPr>
      </w:pPr>
    </w:p>
    <w:p w14:paraId="3E8FEACC" w14:textId="77777777" w:rsidR="0021530E" w:rsidRDefault="00B853AF">
      <w:pPr>
        <w:widowControl/>
        <w:jc w:val="left"/>
        <w:rPr>
          <w:rFonts w:ascii="Tahoma" w:eastAsia="宋体" w:hAnsi="Tahoma" w:cs="Tahoma"/>
          <w:b/>
          <w:bCs/>
          <w:color w:val="000000"/>
          <w:kern w:val="0"/>
          <w:sz w:val="24"/>
          <w:szCs w:val="24"/>
        </w:rPr>
      </w:pPr>
      <w:r>
        <w:rPr>
          <w:rFonts w:ascii="Tahoma" w:eastAsia="宋体" w:hAnsi="Tahoma" w:cs="Tahoma"/>
          <w:b/>
          <w:bCs/>
          <w:color w:val="000000"/>
          <w:kern w:val="0"/>
          <w:sz w:val="24"/>
          <w:szCs w:val="24"/>
        </w:rPr>
        <w:br w:type="page"/>
      </w:r>
    </w:p>
    <w:p w14:paraId="322F7777"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b/>
          <w:bCs/>
          <w:color w:val="000000"/>
          <w:kern w:val="0"/>
          <w:sz w:val="24"/>
          <w:szCs w:val="24"/>
        </w:rPr>
        <w:lastRenderedPageBreak/>
        <w:t>Comments from the reviewers:</w:t>
      </w:r>
    </w:p>
    <w:p w14:paraId="6206E486"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w:t>
      </w:r>
      <w:r>
        <w:rPr>
          <w:rFonts w:ascii="Tahoma" w:eastAsia="宋体" w:hAnsi="Tahoma" w:cs="Tahoma"/>
          <w:b/>
          <w:bCs/>
          <w:color w:val="000000"/>
          <w:kern w:val="0"/>
          <w:sz w:val="24"/>
          <w:szCs w:val="24"/>
        </w:rPr>
        <w:t>Reviewer 1</w:t>
      </w:r>
    </w:p>
    <w:p w14:paraId="3D79CFC8"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The manuscript has been improved in the revised version. However, several major issues remain to be improved.</w:t>
      </w:r>
    </w:p>
    <w:p w14:paraId="0525031A"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Major Compulsory Revisions</w:t>
      </w:r>
    </w:p>
    <w:p w14:paraId="77F4AEF2"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(1) The authors only changed the format of the abstract but not really address the comments brought up in the primary evaluation.</w:t>
      </w:r>
    </w:p>
    <w:p w14:paraId="00E86417" w14:textId="4C27A338" w:rsidR="0021530E" w:rsidRDefault="00B853AF">
      <w:pPr>
        <w:widowControl/>
        <w:spacing w:before="100" w:beforeAutospacing="1" w:after="100" w:afterAutospacing="1"/>
        <w:rPr>
          <w:rFonts w:ascii="Tahoma" w:eastAsia="宋体" w:hAnsi="Tahoma" w:cs="Tahoma"/>
          <w:color w:val="000000"/>
          <w:kern w:val="0"/>
          <w:sz w:val="24"/>
          <w:szCs w:val="24"/>
        </w:rPr>
      </w:pPr>
      <w:bookmarkStart w:id="4" w:name="_Hlk64378407"/>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bookmarkEnd w:id="4"/>
      <w:r>
        <w:rPr>
          <w:rFonts w:ascii="Tahoma" w:eastAsia="宋体" w:hAnsi="Tahoma" w:cs="Tahoma"/>
          <w:kern w:val="0"/>
          <w:sz w:val="24"/>
          <w:szCs w:val="24"/>
        </w:rPr>
        <w:t>Thank you so much for your great efforts in improving the quality of our manuscript. The “Abstract” section has been re-written in our revised manuscript (Line</w:t>
      </w:r>
      <w:r w:rsidR="00442352">
        <w:rPr>
          <w:rFonts w:ascii="Tahoma" w:eastAsia="宋体" w:hAnsi="Tahoma" w:cs="Tahoma"/>
          <w:kern w:val="0"/>
          <w:sz w:val="24"/>
          <w:szCs w:val="24"/>
        </w:rPr>
        <w:t xml:space="preserve"> 23-43</w:t>
      </w:r>
      <w:r>
        <w:rPr>
          <w:rFonts w:ascii="Tahoma" w:eastAsia="宋体" w:hAnsi="Tahoma" w:cs="Tahoma"/>
          <w:kern w:val="0"/>
          <w:sz w:val="24"/>
          <w:szCs w:val="24"/>
        </w:rPr>
        <w:t>).</w:t>
      </w:r>
    </w:p>
    <w:p w14:paraId="6E5488AA"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(2) Introduction: This section is still not logically described and needed to be improved.</w:t>
      </w:r>
    </w:p>
    <w:p w14:paraId="3C0BD872" w14:textId="14A56A2A"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Very appreciated for your important advice. The “Introduction” section has been reorganized in our revised manuscript (Line</w:t>
      </w:r>
      <w:r w:rsidR="00442352">
        <w:rPr>
          <w:rFonts w:ascii="Tahoma" w:eastAsia="宋体" w:hAnsi="Tahoma" w:cs="Tahoma"/>
          <w:kern w:val="0"/>
          <w:sz w:val="24"/>
          <w:szCs w:val="24"/>
        </w:rPr>
        <w:t xml:space="preserve"> 45-9</w:t>
      </w:r>
      <w:r w:rsidR="00470C7F">
        <w:rPr>
          <w:rFonts w:ascii="Tahoma" w:eastAsia="宋体" w:hAnsi="Tahoma" w:cs="Tahoma"/>
          <w:kern w:val="0"/>
          <w:sz w:val="24"/>
          <w:szCs w:val="24"/>
        </w:rPr>
        <w:t>9</w:t>
      </w:r>
      <w:r>
        <w:rPr>
          <w:rFonts w:ascii="Tahoma" w:eastAsia="宋体" w:hAnsi="Tahoma" w:cs="Tahoma"/>
          <w:kern w:val="0"/>
          <w:sz w:val="24"/>
          <w:szCs w:val="24"/>
        </w:rPr>
        <w:t xml:space="preserve">). </w:t>
      </w:r>
    </w:p>
    <w:p w14:paraId="2D7B6801"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(3) Methods: The “model” group is the same treatment as the “control” group based on the information in Line 137-138 and Line 147-148.</w:t>
      </w:r>
    </w:p>
    <w:p w14:paraId="7251B8FD" w14:textId="4092928A" w:rsidR="0021530E" w:rsidRDefault="00B853AF" w:rsidP="00442352">
      <w:pPr>
        <w:widowControl/>
        <w:spacing w:before="100" w:beforeAutospacing="1" w:after="100" w:afterAutospacing="1"/>
        <w:contextualSpacing/>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kern w:val="0"/>
          <w:sz w:val="24"/>
          <w:szCs w:val="24"/>
        </w:rPr>
        <w:t xml:space="preserve">Thank you for your patience and carefulness on our manuscript. </w:t>
      </w:r>
      <w:r w:rsidR="00557913">
        <w:rPr>
          <w:rFonts w:ascii="Tahoma" w:eastAsia="宋体" w:hAnsi="Tahoma" w:cs="Tahoma" w:hint="eastAsia"/>
          <w:kern w:val="0"/>
          <w:sz w:val="24"/>
          <w:szCs w:val="24"/>
        </w:rPr>
        <w:t>(</w:t>
      </w:r>
      <w:r w:rsidR="00557913">
        <w:rPr>
          <w:rFonts w:ascii="Tahoma" w:eastAsia="宋体" w:hAnsi="Tahoma" w:cs="Tahoma"/>
          <w:kern w:val="0"/>
          <w:sz w:val="24"/>
          <w:szCs w:val="24"/>
        </w:rPr>
        <w:t xml:space="preserve">1) </w:t>
      </w:r>
      <w:r>
        <w:rPr>
          <w:rFonts w:ascii="Tahoma" w:eastAsia="宋体" w:hAnsi="Tahoma" w:cs="Tahoma" w:hint="eastAsia"/>
          <w:kern w:val="0"/>
          <w:sz w:val="24"/>
          <w:szCs w:val="24"/>
        </w:rPr>
        <w:t xml:space="preserve">In formalin induced nociception assay, mice were randomly divided into high dosage AC, low dosage AC, aspirin, model and control groups, with 6 mice in each group. The mice of high dosage AC, low dosage AC and aspirin groups were administered with 0.9 mg/kg AC, 0.3 mg/kg AC and 200 mg/kg aspirin respectively, while the mice of model and control groups were treated with 0.9% saline. One or two hours after administration, 20 </w:t>
      </w:r>
      <w:r>
        <w:rPr>
          <w:rFonts w:ascii="Tahoma" w:eastAsia="宋体" w:hAnsi="Tahoma" w:cs="Tahoma"/>
          <w:kern w:val="0"/>
          <w:sz w:val="24"/>
          <w:szCs w:val="24"/>
        </w:rPr>
        <w:t>μL</w:t>
      </w:r>
      <w:r>
        <w:rPr>
          <w:rFonts w:ascii="Tahoma" w:eastAsia="宋体" w:hAnsi="Tahoma" w:cs="Tahoma" w:hint="eastAsia"/>
          <w:kern w:val="0"/>
          <w:sz w:val="24"/>
          <w:szCs w:val="24"/>
        </w:rPr>
        <w:t xml:space="preserve"> of 0.92% formaldehyde solution was subcutaneously injected into the dorsal surface of the right hindpaw of the mice of high dosage AC, low dosage AC, aspirin and model groups, expect that the control group was treated with 0.9% saline.</w:t>
      </w:r>
    </w:p>
    <w:p w14:paraId="4432BED1" w14:textId="1C7C12EF" w:rsidR="0021530E" w:rsidRDefault="00557913" w:rsidP="00442352">
      <w:pPr>
        <w:widowControl/>
        <w:spacing w:before="100" w:beforeAutospacing="1" w:after="100" w:afterAutospacing="1"/>
        <w:contextualSpacing/>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 xml:space="preserve">2) </w:t>
      </w:r>
      <w:r w:rsidR="00B853AF">
        <w:rPr>
          <w:rFonts w:ascii="Tahoma" w:eastAsia="宋体" w:hAnsi="Tahoma" w:cs="Tahoma" w:hint="eastAsia"/>
          <w:kern w:val="0"/>
          <w:sz w:val="24"/>
          <w:szCs w:val="24"/>
        </w:rPr>
        <w:t xml:space="preserve">In CFA induced nociception assay, mice were randomly divided into high dosage AC, low dosage AC, aspirin, model and control groups, with 6 mice in each group. 20 </w:t>
      </w:r>
      <w:r w:rsidR="00B853AF">
        <w:rPr>
          <w:rFonts w:ascii="Tahoma" w:eastAsia="宋体" w:hAnsi="Tahoma" w:cs="Tahoma"/>
          <w:kern w:val="0"/>
          <w:sz w:val="24"/>
          <w:szCs w:val="24"/>
        </w:rPr>
        <w:t>μ</w:t>
      </w:r>
      <w:r w:rsidR="00B853AF">
        <w:rPr>
          <w:rFonts w:ascii="Tahoma" w:eastAsia="宋体" w:hAnsi="Tahoma" w:cs="Tahoma" w:hint="eastAsia"/>
          <w:kern w:val="0"/>
          <w:sz w:val="24"/>
          <w:szCs w:val="24"/>
        </w:rPr>
        <w:t>L of CFA was subcutaneously injected into the dorsal surface of the right hindpaw of the mice of high dosage AC, low dosage AC, aspirin and model groups, while the control group was treated with 0.9% saline instead. After 48 hours, the mice of high dosage AC, low dosage AC and aspirin groups were administered with 0.9 mg/kg AC, 0.3 mg/kg AC and 200 mg/kg aspirin respectively</w:t>
      </w:r>
      <w:r w:rsidR="00B853AF">
        <w:rPr>
          <w:rFonts w:ascii="Tahoma" w:eastAsia="宋体" w:hAnsi="Tahoma" w:cs="Tahoma" w:hint="eastAsia"/>
          <w:kern w:val="0"/>
          <w:sz w:val="24"/>
          <w:szCs w:val="24"/>
        </w:rPr>
        <w:t>，</w:t>
      </w:r>
      <w:r w:rsidR="00B853AF">
        <w:rPr>
          <w:rFonts w:ascii="Tahoma" w:eastAsia="宋体" w:hAnsi="Tahoma" w:cs="Tahoma" w:hint="eastAsia"/>
          <w:kern w:val="0"/>
          <w:sz w:val="24"/>
          <w:szCs w:val="24"/>
        </w:rPr>
        <w:t>and the mice of model and control groups were treated with 0.9% saline</w:t>
      </w:r>
      <w:r w:rsidR="00B853AF">
        <w:rPr>
          <w:rFonts w:ascii="Tahoma" w:eastAsia="宋体" w:hAnsi="Tahoma" w:cs="Tahoma"/>
          <w:kern w:val="0"/>
          <w:sz w:val="24"/>
          <w:szCs w:val="24"/>
        </w:rPr>
        <w:t>.</w:t>
      </w:r>
    </w:p>
    <w:p w14:paraId="69CF29F8" w14:textId="32416EA0"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lastRenderedPageBreak/>
        <w:t xml:space="preserve">(4) Results: </w:t>
      </w:r>
      <w:bookmarkStart w:id="5" w:name="OLE_LINK31"/>
      <w:bookmarkStart w:id="6" w:name="OLE_LINK30"/>
      <w:r>
        <w:rPr>
          <w:rFonts w:ascii="Tahoma" w:eastAsia="宋体" w:hAnsi="Tahoma" w:cs="Tahoma"/>
          <w:color w:val="000000"/>
          <w:kern w:val="0"/>
          <w:sz w:val="24"/>
          <w:szCs w:val="24"/>
        </w:rPr>
        <w:t>The low dose of AC showed the most significant improvement based on the images of the hind paw in Figure 2. However, the bar graph doesn’t indicate</w:t>
      </w:r>
      <w:r w:rsidR="00470C7F">
        <w:rPr>
          <w:rFonts w:ascii="Tahoma" w:eastAsia="宋体" w:hAnsi="Tahoma" w:cs="Tahoma"/>
          <w:color w:val="000000"/>
          <w:kern w:val="0"/>
          <w:sz w:val="24"/>
          <w:szCs w:val="24"/>
        </w:rPr>
        <w:t xml:space="preserve"> that</w:t>
      </w:r>
    </w:p>
    <w:bookmarkEnd w:id="5"/>
    <w:bookmarkEnd w:id="6"/>
    <w:p w14:paraId="23A5BF58" w14:textId="344B48DE"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 xml:space="preserve">Thank you very much for your constructive question. </w:t>
      </w:r>
      <w:r>
        <w:rPr>
          <w:rFonts w:ascii="Tahoma" w:eastAsia="宋体" w:hAnsi="Tahoma" w:cs="Tahoma" w:hint="eastAsia"/>
          <w:kern w:val="0"/>
          <w:sz w:val="24"/>
          <w:szCs w:val="24"/>
        </w:rPr>
        <w:t>The swelling improvement effect of the 0.3mg/kg AC group was similar to that of the aspirin group, but better than the 0.9mg/kg AC group, which may be due to individual differences. At present, we do not know why low dosage AC was better than high dosage AC after long time treatment. We will further study the analgesic and anti-swelling effects of AC.</w:t>
      </w:r>
    </w:p>
    <w:p w14:paraId="28AA4D57"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 xml:space="preserve">(5) The English language issue still needs to be improved throughout the whole manuscript. </w:t>
      </w:r>
    </w:p>
    <w:p w14:paraId="2865C931" w14:textId="77777777"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Many thanks for your great efforts in improving the quality of our manuscript. The manuscript has been further edited by highly qualified native English speakers.</w:t>
      </w:r>
    </w:p>
    <w:p w14:paraId="63E41452" w14:textId="77777777" w:rsidR="0021530E" w:rsidRDefault="0021530E">
      <w:pPr>
        <w:widowControl/>
        <w:spacing w:before="100" w:beforeAutospacing="1" w:after="100" w:afterAutospacing="1"/>
        <w:rPr>
          <w:rFonts w:ascii="Tahoma" w:eastAsia="宋体" w:hAnsi="Tahoma" w:cs="Tahoma"/>
          <w:color w:val="000000"/>
          <w:kern w:val="0"/>
          <w:sz w:val="24"/>
          <w:szCs w:val="24"/>
        </w:rPr>
      </w:pPr>
    </w:p>
    <w:p w14:paraId="3FEC7E7B"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b/>
          <w:bCs/>
          <w:color w:val="000000"/>
          <w:kern w:val="0"/>
          <w:sz w:val="24"/>
          <w:szCs w:val="24"/>
        </w:rPr>
        <w:t>-Reviewer 2</w:t>
      </w:r>
    </w:p>
    <w:p w14:paraId="6EBD15B7"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The authors have appropriately addressed my original comments but the revised version has a few things that need to be addressed.</w:t>
      </w:r>
    </w:p>
    <w:p w14:paraId="66F6EFEF"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(1)</w:t>
      </w:r>
      <w:bookmarkStart w:id="7" w:name="OLE_LINK33"/>
      <w:bookmarkStart w:id="8" w:name="OLE_LINK32"/>
      <w:r>
        <w:rPr>
          <w:rFonts w:ascii="Tahoma" w:eastAsia="宋体" w:hAnsi="Tahoma" w:cs="Tahoma"/>
          <w:kern w:val="0"/>
          <w:sz w:val="24"/>
          <w:szCs w:val="24"/>
        </w:rPr>
        <w:t xml:space="preserve"> In the abstract (line 27) the authors state they are looking at the analgesic activities of AC on neuropathic pain. However, they do not use a neuropathic pain model. This should be revised to say they are looking at the analgesic effects of AC on </w:t>
      </w:r>
      <w:bookmarkStart w:id="9" w:name="_Hlk64388017"/>
      <w:r>
        <w:rPr>
          <w:rFonts w:ascii="Tahoma" w:eastAsia="宋体" w:hAnsi="Tahoma" w:cs="Tahoma"/>
          <w:kern w:val="0"/>
          <w:sz w:val="24"/>
          <w:szCs w:val="24"/>
        </w:rPr>
        <w:t>thermal sensitivity</w:t>
      </w:r>
      <w:bookmarkEnd w:id="9"/>
      <w:r>
        <w:rPr>
          <w:rFonts w:ascii="Tahoma" w:eastAsia="宋体" w:hAnsi="Tahoma" w:cs="Tahoma"/>
          <w:kern w:val="0"/>
          <w:sz w:val="24"/>
          <w:szCs w:val="24"/>
        </w:rPr>
        <w:t>, or something similar.</w:t>
      </w:r>
      <w:bookmarkEnd w:id="7"/>
      <w:bookmarkEnd w:id="8"/>
    </w:p>
    <w:p w14:paraId="2A5F97BD" w14:textId="0DB7BD7F"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 you so much for your constructive suggestion. The description about “neuropathic pain” has been revised to “</w:t>
      </w:r>
      <w:r w:rsidR="009479C6" w:rsidRPr="009479C6">
        <w:rPr>
          <w:rFonts w:ascii="Tahoma" w:eastAsia="宋体" w:hAnsi="Tahoma" w:cs="Tahoma"/>
          <w:kern w:val="0"/>
          <w:sz w:val="24"/>
          <w:szCs w:val="24"/>
        </w:rPr>
        <w:t>acute thermal stimulus pain</w:t>
      </w:r>
      <w:r>
        <w:rPr>
          <w:rFonts w:ascii="Tahoma" w:eastAsia="宋体" w:hAnsi="Tahoma" w:cs="Tahoma"/>
          <w:kern w:val="0"/>
          <w:sz w:val="24"/>
          <w:szCs w:val="24"/>
        </w:rPr>
        <w:t xml:space="preserve">” (Line </w:t>
      </w:r>
      <w:r w:rsidR="009479C6">
        <w:rPr>
          <w:rFonts w:ascii="Tahoma" w:eastAsia="宋体" w:hAnsi="Tahoma" w:cs="Tahoma"/>
          <w:kern w:val="0"/>
          <w:sz w:val="24"/>
          <w:szCs w:val="24"/>
        </w:rPr>
        <w:t>34</w:t>
      </w:r>
      <w:r>
        <w:rPr>
          <w:rFonts w:ascii="Tahoma" w:eastAsia="宋体" w:hAnsi="Tahoma" w:cs="Tahoma"/>
          <w:kern w:val="0"/>
          <w:sz w:val="24"/>
          <w:szCs w:val="24"/>
        </w:rPr>
        <w:t>).</w:t>
      </w:r>
    </w:p>
    <w:p w14:paraId="304D076D"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 xml:space="preserve">2. </w:t>
      </w:r>
      <w:bookmarkStart w:id="10" w:name="OLE_LINK35"/>
      <w:bookmarkStart w:id="11" w:name="OLE_LINK34"/>
      <w:r>
        <w:rPr>
          <w:rFonts w:ascii="Tahoma" w:eastAsia="宋体" w:hAnsi="Tahoma" w:cs="Tahoma"/>
          <w:kern w:val="0"/>
          <w:sz w:val="24"/>
          <w:szCs w:val="24"/>
        </w:rPr>
        <w:t>Similarly, in the abstract (line 38) they state AC had analgesic effect on neuropathic pain but they only use the hot plate to measure thermal sensitivity in naive mice, not a neuropathic pain model. Please revise this sentence as well.</w:t>
      </w:r>
      <w:bookmarkEnd w:id="10"/>
      <w:bookmarkEnd w:id="11"/>
    </w:p>
    <w:p w14:paraId="1622AB4E" w14:textId="107430A9" w:rsidR="0021530E" w:rsidRDefault="00B853AF">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 you so much for your carefulness on our manuscript. This sentence has been revised in Line 3</w:t>
      </w:r>
      <w:r w:rsidR="009479C6">
        <w:rPr>
          <w:rFonts w:ascii="Tahoma" w:eastAsia="宋体" w:hAnsi="Tahoma" w:cs="Tahoma"/>
          <w:kern w:val="0"/>
          <w:sz w:val="24"/>
          <w:szCs w:val="24"/>
        </w:rPr>
        <w:t>4</w:t>
      </w:r>
      <w:r>
        <w:rPr>
          <w:rFonts w:ascii="Tahoma" w:eastAsia="宋体" w:hAnsi="Tahoma" w:cs="Tahoma"/>
          <w:kern w:val="0"/>
          <w:sz w:val="24"/>
          <w:szCs w:val="24"/>
        </w:rPr>
        <w:t>.</w:t>
      </w:r>
    </w:p>
    <w:p w14:paraId="4B12867C"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 xml:space="preserve">3. </w:t>
      </w:r>
      <w:bookmarkStart w:id="12" w:name="OLE_LINK36"/>
      <w:bookmarkStart w:id="13" w:name="OLE_LINK37"/>
      <w:r>
        <w:rPr>
          <w:rFonts w:ascii="Tahoma" w:eastAsia="宋体" w:hAnsi="Tahoma" w:cs="Tahoma"/>
          <w:kern w:val="0"/>
          <w:sz w:val="24"/>
          <w:szCs w:val="24"/>
        </w:rPr>
        <w:t>The use of the word '</w:t>
      </w:r>
      <w:bookmarkStart w:id="14" w:name="OLE_LINK38"/>
      <w:bookmarkStart w:id="15" w:name="OLE_LINK39"/>
      <w:r>
        <w:rPr>
          <w:rFonts w:ascii="Tahoma" w:eastAsia="宋体" w:hAnsi="Tahoma" w:cs="Tahoma"/>
          <w:kern w:val="0"/>
          <w:sz w:val="24"/>
          <w:szCs w:val="24"/>
        </w:rPr>
        <w:t>videlicet</w:t>
      </w:r>
      <w:bookmarkEnd w:id="14"/>
      <w:bookmarkEnd w:id="15"/>
      <w:r>
        <w:rPr>
          <w:rFonts w:ascii="Tahoma" w:eastAsia="宋体" w:hAnsi="Tahoma" w:cs="Tahoma"/>
          <w:kern w:val="0"/>
          <w:sz w:val="24"/>
          <w:szCs w:val="24"/>
        </w:rPr>
        <w:t>' in line 169 does not seem appropriate</w:t>
      </w:r>
      <w:bookmarkEnd w:id="12"/>
      <w:bookmarkEnd w:id="13"/>
    </w:p>
    <w:p w14:paraId="369B16D4" w14:textId="4F73FDF4"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Very appreciated for your great efforts in improving the quality of our manuscript. We have rewritten the sentence in Lin 1</w:t>
      </w:r>
      <w:r w:rsidR="00CB6680">
        <w:rPr>
          <w:rFonts w:ascii="Tahoma" w:eastAsia="宋体" w:hAnsi="Tahoma" w:cs="Tahoma"/>
          <w:kern w:val="0"/>
          <w:sz w:val="24"/>
          <w:szCs w:val="24"/>
        </w:rPr>
        <w:t>76</w:t>
      </w:r>
      <w:r>
        <w:rPr>
          <w:rFonts w:ascii="Tahoma" w:eastAsia="宋体" w:hAnsi="Tahoma" w:cs="Tahoma"/>
          <w:kern w:val="0"/>
          <w:sz w:val="24"/>
          <w:szCs w:val="24"/>
        </w:rPr>
        <w:t>-17</w:t>
      </w:r>
      <w:r w:rsidR="00CB6680">
        <w:rPr>
          <w:rFonts w:ascii="Tahoma" w:eastAsia="宋体" w:hAnsi="Tahoma" w:cs="Tahoma"/>
          <w:kern w:val="0"/>
          <w:sz w:val="24"/>
          <w:szCs w:val="24"/>
        </w:rPr>
        <w:t>8</w:t>
      </w:r>
      <w:r>
        <w:rPr>
          <w:rFonts w:ascii="Tahoma" w:eastAsia="宋体" w:hAnsi="Tahoma" w:cs="Tahoma"/>
          <w:kern w:val="0"/>
          <w:sz w:val="24"/>
          <w:szCs w:val="24"/>
        </w:rPr>
        <w:t>.</w:t>
      </w:r>
    </w:p>
    <w:p w14:paraId="76C7A398"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lastRenderedPageBreak/>
        <w:t>4. The sentence ending on Line 236 would make more sense if it read '48 hours after CFA injection' instead of 'after CFA injection 48 hours'</w:t>
      </w:r>
    </w:p>
    <w:p w14:paraId="63DC0397" w14:textId="0DBDE264" w:rsidR="0021530E" w:rsidRDefault="00B853AF">
      <w:pPr>
        <w:widowControl/>
        <w:spacing w:before="100" w:beforeAutospacing="1" w:after="100" w:afterAutospacing="1"/>
        <w:rPr>
          <w:rFonts w:ascii="Tahoma" w:eastAsia="宋体" w:hAnsi="Tahoma" w:cs="Tahoma"/>
          <w:kern w:val="0"/>
          <w:sz w:val="24"/>
          <w:szCs w:val="24"/>
        </w:rPr>
      </w:pPr>
      <w:bookmarkStart w:id="16" w:name="_Hlk64386589"/>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Many thanks for your helpful suggestion. We have modified the expression in Line 23</w:t>
      </w:r>
      <w:r w:rsidR="00CB6680">
        <w:rPr>
          <w:rFonts w:ascii="Tahoma" w:eastAsia="宋体" w:hAnsi="Tahoma" w:cs="Tahoma"/>
          <w:kern w:val="0"/>
          <w:sz w:val="24"/>
          <w:szCs w:val="24"/>
        </w:rPr>
        <w:t>9</w:t>
      </w:r>
      <w:r>
        <w:rPr>
          <w:rFonts w:ascii="Tahoma" w:eastAsia="宋体" w:hAnsi="Tahoma" w:cs="Tahoma"/>
          <w:kern w:val="0"/>
          <w:sz w:val="24"/>
          <w:szCs w:val="24"/>
        </w:rPr>
        <w:t>.</w:t>
      </w:r>
    </w:p>
    <w:bookmarkEnd w:id="16"/>
    <w:p w14:paraId="0A829DFC"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 xml:space="preserve">5. </w:t>
      </w:r>
      <w:bookmarkStart w:id="17" w:name="OLE_LINK41"/>
      <w:bookmarkStart w:id="18" w:name="OLE_LINK40"/>
      <w:r>
        <w:rPr>
          <w:rFonts w:ascii="Tahoma" w:eastAsia="宋体" w:hAnsi="Tahoma" w:cs="Tahoma"/>
          <w:kern w:val="0"/>
          <w:sz w:val="24"/>
          <w:szCs w:val="24"/>
        </w:rPr>
        <w:t>The conclusion drawn in lines 236-238 is not accurate unless the different time points following CFA injection were compared statistically. From figure 2, it does not appear that the different time points were compared, only the different groups.</w:t>
      </w:r>
      <w:bookmarkEnd w:id="17"/>
      <w:bookmarkEnd w:id="18"/>
    </w:p>
    <w:p w14:paraId="4FF39620"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 you very much for your important question. Indeed, we didn’t compare the different time points in Figure 2. The conclusion in Line 236-238 has been revised.</w:t>
      </w:r>
    </w:p>
    <w:p w14:paraId="4ED331B3"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6. The wording of the conclusion on line 267 that AC was able to relieve neuropathic pain is inappropriate (similar to comments 1 and 2). This should say thermal sensitivity or something similar.</w:t>
      </w:r>
    </w:p>
    <w:p w14:paraId="17268555" w14:textId="6C652B3A"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Thanks very much for improving the quality of our manuscript.</w:t>
      </w:r>
      <w:r>
        <w:t xml:space="preserve"> </w:t>
      </w:r>
      <w:r>
        <w:rPr>
          <w:rFonts w:ascii="Tahoma" w:eastAsia="宋体" w:hAnsi="Tahoma" w:cs="Tahoma"/>
          <w:kern w:val="0"/>
          <w:sz w:val="24"/>
          <w:szCs w:val="24"/>
        </w:rPr>
        <w:t>The description has been revised to “</w:t>
      </w:r>
      <w:r w:rsidR="00CB6680" w:rsidRPr="00CB6680">
        <w:rPr>
          <w:rFonts w:ascii="Tahoma" w:eastAsia="宋体" w:hAnsi="Tahoma" w:cs="Tahoma"/>
          <w:kern w:val="0"/>
          <w:sz w:val="24"/>
          <w:szCs w:val="24"/>
        </w:rPr>
        <w:t>acute thermal stimulus pain</w:t>
      </w:r>
      <w:r>
        <w:rPr>
          <w:rFonts w:ascii="Tahoma" w:eastAsia="宋体" w:hAnsi="Tahoma" w:cs="Tahoma"/>
          <w:kern w:val="0"/>
          <w:sz w:val="24"/>
          <w:szCs w:val="24"/>
        </w:rPr>
        <w:t>” (Line 26</w:t>
      </w:r>
      <w:r w:rsidR="00CB6680">
        <w:rPr>
          <w:rFonts w:ascii="Tahoma" w:eastAsia="宋体" w:hAnsi="Tahoma" w:cs="Tahoma"/>
          <w:kern w:val="0"/>
          <w:sz w:val="24"/>
          <w:szCs w:val="24"/>
        </w:rPr>
        <w:t>9</w:t>
      </w:r>
      <w:r>
        <w:rPr>
          <w:rFonts w:ascii="Tahoma" w:eastAsia="宋体" w:hAnsi="Tahoma" w:cs="Tahoma"/>
          <w:kern w:val="0"/>
          <w:sz w:val="24"/>
          <w:szCs w:val="24"/>
        </w:rPr>
        <w:t>).</w:t>
      </w:r>
    </w:p>
    <w:p w14:paraId="3BD5D789"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7. Lines 282-283 also mention AC having an effect on neuropathic pain</w:t>
      </w:r>
    </w:p>
    <w:p w14:paraId="15BA6B74" w14:textId="1A1A6C48"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 you again for your important suggestion.</w:t>
      </w:r>
      <w:r>
        <w:t xml:space="preserve"> </w:t>
      </w:r>
      <w:r>
        <w:rPr>
          <w:rFonts w:ascii="Tahoma" w:eastAsia="宋体" w:hAnsi="Tahoma" w:cs="Tahoma"/>
          <w:kern w:val="0"/>
          <w:sz w:val="24"/>
          <w:szCs w:val="24"/>
        </w:rPr>
        <w:t>The description has been revised in Line 28</w:t>
      </w:r>
      <w:r w:rsidR="00CB6680">
        <w:rPr>
          <w:rFonts w:ascii="Tahoma" w:eastAsia="宋体" w:hAnsi="Tahoma" w:cs="Tahoma"/>
          <w:kern w:val="0"/>
          <w:sz w:val="24"/>
          <w:szCs w:val="24"/>
        </w:rPr>
        <w:t>4</w:t>
      </w:r>
      <w:r>
        <w:rPr>
          <w:rFonts w:ascii="Tahoma" w:eastAsia="宋体" w:hAnsi="Tahoma" w:cs="Tahoma"/>
          <w:kern w:val="0"/>
          <w:sz w:val="24"/>
          <w:szCs w:val="24"/>
        </w:rPr>
        <w:t>-28</w:t>
      </w:r>
      <w:r w:rsidR="00CB6680">
        <w:rPr>
          <w:rFonts w:ascii="Tahoma" w:eastAsia="宋体" w:hAnsi="Tahoma" w:cs="Tahoma"/>
          <w:kern w:val="0"/>
          <w:sz w:val="24"/>
          <w:szCs w:val="24"/>
        </w:rPr>
        <w:t>6</w:t>
      </w:r>
      <w:r>
        <w:rPr>
          <w:rFonts w:ascii="Tahoma" w:eastAsia="宋体" w:hAnsi="Tahoma" w:cs="Tahoma"/>
          <w:kern w:val="0"/>
          <w:sz w:val="24"/>
          <w:szCs w:val="24"/>
        </w:rPr>
        <w:t>.</w:t>
      </w:r>
      <w:bookmarkStart w:id="19" w:name="_GoBack"/>
      <w:bookmarkEnd w:id="19"/>
    </w:p>
    <w:p w14:paraId="2BB8FBF6"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 xml:space="preserve">8. </w:t>
      </w:r>
      <w:bookmarkStart w:id="20" w:name="OLE_LINK43"/>
      <w:bookmarkStart w:id="21" w:name="OLE_LINK42"/>
      <w:r>
        <w:rPr>
          <w:rFonts w:ascii="Tahoma" w:eastAsia="宋体" w:hAnsi="Tahoma" w:cs="Tahoma"/>
          <w:kern w:val="0"/>
          <w:sz w:val="24"/>
          <w:szCs w:val="24"/>
        </w:rPr>
        <w:t>In Table 3 for the CFA induced nociception assay, what does the 7th compare with 1st value mean?</w:t>
      </w:r>
      <w:bookmarkEnd w:id="20"/>
      <w:bookmarkEnd w:id="21"/>
      <w:r>
        <w:rPr>
          <w:rFonts w:ascii="Tahoma" w:eastAsia="宋体" w:hAnsi="Tahoma" w:cs="Tahoma"/>
          <w:kern w:val="0"/>
          <w:sz w:val="24"/>
          <w:szCs w:val="24"/>
        </w:rPr>
        <w:t xml:space="preserve"> </w:t>
      </w:r>
    </w:p>
    <w:p w14:paraId="72A6D665" w14:textId="77777777" w:rsidR="0021530E" w:rsidRDefault="00B853AF">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kern w:val="0"/>
          <w:sz w:val="24"/>
          <w:szCs w:val="24"/>
        </w:rPr>
        <w:t>Thank you for your constructive question.</w:t>
      </w:r>
      <w:r>
        <w:t xml:space="preserve"> </w:t>
      </w:r>
      <w:r>
        <w:rPr>
          <w:rFonts w:ascii="Tahoma" w:eastAsia="宋体" w:hAnsi="Tahoma" w:cs="Tahoma"/>
          <w:kern w:val="0"/>
          <w:sz w:val="24"/>
          <w:szCs w:val="24"/>
        </w:rPr>
        <w:t>In CFA induced nociception assay, drug-treated groups were orally given AC or aspirin respectively once a day for seven consecutive days. Compared with day 1, the improvement rate of pain threshold on day 7 reflected the analgesic effect of aspirin and AC after the whole treatment cycle. Importantly, the improvement of pain threshold in low dosage AC group was similar to that of aspirin group, which indicating that AC treatment showed powerful inhibitory effect on inflammatory pain.</w:t>
      </w:r>
    </w:p>
    <w:p w14:paraId="057BCC38" w14:textId="77777777" w:rsidR="0021530E" w:rsidRDefault="0021530E">
      <w:pPr>
        <w:widowControl/>
        <w:spacing w:before="100" w:beforeAutospacing="1" w:after="100" w:afterAutospacing="1"/>
        <w:rPr>
          <w:rFonts w:ascii="Tahoma" w:eastAsia="宋体" w:hAnsi="Tahoma" w:cs="Tahoma"/>
          <w:kern w:val="0"/>
          <w:sz w:val="24"/>
          <w:szCs w:val="24"/>
        </w:rPr>
      </w:pPr>
    </w:p>
    <w:sectPr w:rsidR="00215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C29E" w14:textId="77777777" w:rsidR="00BC34C7" w:rsidRDefault="00BC34C7" w:rsidP="00442352">
      <w:r>
        <w:separator/>
      </w:r>
    </w:p>
  </w:endnote>
  <w:endnote w:type="continuationSeparator" w:id="0">
    <w:p w14:paraId="58075A04" w14:textId="77777777" w:rsidR="00BC34C7" w:rsidRDefault="00BC34C7" w:rsidP="0044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36E0" w14:textId="77777777" w:rsidR="00BC34C7" w:rsidRDefault="00BC34C7" w:rsidP="00442352">
      <w:r>
        <w:separator/>
      </w:r>
    </w:p>
  </w:footnote>
  <w:footnote w:type="continuationSeparator" w:id="0">
    <w:p w14:paraId="6B3FE6ED" w14:textId="77777777" w:rsidR="00BC34C7" w:rsidRDefault="00BC34C7" w:rsidP="0044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5D"/>
    <w:rsid w:val="00002386"/>
    <w:rsid w:val="00021A39"/>
    <w:rsid w:val="00027A6D"/>
    <w:rsid w:val="0003787B"/>
    <w:rsid w:val="0004261D"/>
    <w:rsid w:val="000446EC"/>
    <w:rsid w:val="0005379C"/>
    <w:rsid w:val="00062836"/>
    <w:rsid w:val="00074B11"/>
    <w:rsid w:val="00075540"/>
    <w:rsid w:val="00082D9E"/>
    <w:rsid w:val="000945CC"/>
    <w:rsid w:val="000976D5"/>
    <w:rsid w:val="000A5533"/>
    <w:rsid w:val="000A57A4"/>
    <w:rsid w:val="000B2C5B"/>
    <w:rsid w:val="000B4C65"/>
    <w:rsid w:val="000D41A6"/>
    <w:rsid w:val="000D541C"/>
    <w:rsid w:val="000E3D07"/>
    <w:rsid w:val="00101267"/>
    <w:rsid w:val="00123F31"/>
    <w:rsid w:val="00125A98"/>
    <w:rsid w:val="00131816"/>
    <w:rsid w:val="001518C2"/>
    <w:rsid w:val="001670CD"/>
    <w:rsid w:val="00173F70"/>
    <w:rsid w:val="0017463F"/>
    <w:rsid w:val="0017498F"/>
    <w:rsid w:val="0017727E"/>
    <w:rsid w:val="00194296"/>
    <w:rsid w:val="001A1540"/>
    <w:rsid w:val="001A735E"/>
    <w:rsid w:val="001B5E71"/>
    <w:rsid w:val="001D5B56"/>
    <w:rsid w:val="001E11C1"/>
    <w:rsid w:val="001F0187"/>
    <w:rsid w:val="001F5A6B"/>
    <w:rsid w:val="00200833"/>
    <w:rsid w:val="002069C3"/>
    <w:rsid w:val="00211C15"/>
    <w:rsid w:val="0021530E"/>
    <w:rsid w:val="00227548"/>
    <w:rsid w:val="00256E08"/>
    <w:rsid w:val="0026017C"/>
    <w:rsid w:val="00260592"/>
    <w:rsid w:val="0026673C"/>
    <w:rsid w:val="002708AF"/>
    <w:rsid w:val="00272536"/>
    <w:rsid w:val="002811FD"/>
    <w:rsid w:val="00283C8E"/>
    <w:rsid w:val="00286DC9"/>
    <w:rsid w:val="002935D5"/>
    <w:rsid w:val="0029453C"/>
    <w:rsid w:val="002A1D0D"/>
    <w:rsid w:val="002A7008"/>
    <w:rsid w:val="002A717B"/>
    <w:rsid w:val="002B1435"/>
    <w:rsid w:val="002B39D7"/>
    <w:rsid w:val="002B7F76"/>
    <w:rsid w:val="002C0DB6"/>
    <w:rsid w:val="002C20AC"/>
    <w:rsid w:val="002C68A8"/>
    <w:rsid w:val="002C6D15"/>
    <w:rsid w:val="002D6A9F"/>
    <w:rsid w:val="002E15DB"/>
    <w:rsid w:val="002F3115"/>
    <w:rsid w:val="0030274B"/>
    <w:rsid w:val="00310737"/>
    <w:rsid w:val="0031221B"/>
    <w:rsid w:val="00314D0C"/>
    <w:rsid w:val="003170F0"/>
    <w:rsid w:val="0032188E"/>
    <w:rsid w:val="00322003"/>
    <w:rsid w:val="00324C5B"/>
    <w:rsid w:val="00330006"/>
    <w:rsid w:val="00330F30"/>
    <w:rsid w:val="003313F3"/>
    <w:rsid w:val="00343520"/>
    <w:rsid w:val="00347761"/>
    <w:rsid w:val="0036498D"/>
    <w:rsid w:val="00372998"/>
    <w:rsid w:val="003731FD"/>
    <w:rsid w:val="00385542"/>
    <w:rsid w:val="0038709C"/>
    <w:rsid w:val="00387873"/>
    <w:rsid w:val="003932AF"/>
    <w:rsid w:val="0039774D"/>
    <w:rsid w:val="003A6126"/>
    <w:rsid w:val="003A6E99"/>
    <w:rsid w:val="003B5505"/>
    <w:rsid w:val="003C717B"/>
    <w:rsid w:val="003C7C11"/>
    <w:rsid w:val="003D05B0"/>
    <w:rsid w:val="003D3EBE"/>
    <w:rsid w:val="003E32F2"/>
    <w:rsid w:val="003F3C78"/>
    <w:rsid w:val="003F7350"/>
    <w:rsid w:val="0040018C"/>
    <w:rsid w:val="00404738"/>
    <w:rsid w:val="004149B9"/>
    <w:rsid w:val="00416BD4"/>
    <w:rsid w:val="00420358"/>
    <w:rsid w:val="004212FD"/>
    <w:rsid w:val="00425FA4"/>
    <w:rsid w:val="00435DB9"/>
    <w:rsid w:val="004371EB"/>
    <w:rsid w:val="00442352"/>
    <w:rsid w:val="00447018"/>
    <w:rsid w:val="00457A72"/>
    <w:rsid w:val="004624CC"/>
    <w:rsid w:val="00463D29"/>
    <w:rsid w:val="0046648D"/>
    <w:rsid w:val="00470C7F"/>
    <w:rsid w:val="004712CC"/>
    <w:rsid w:val="00473438"/>
    <w:rsid w:val="00494464"/>
    <w:rsid w:val="004A0922"/>
    <w:rsid w:val="004A1325"/>
    <w:rsid w:val="004A19AC"/>
    <w:rsid w:val="004A42A4"/>
    <w:rsid w:val="004A4314"/>
    <w:rsid w:val="004A76FF"/>
    <w:rsid w:val="004B0655"/>
    <w:rsid w:val="004B14ED"/>
    <w:rsid w:val="004C22E7"/>
    <w:rsid w:val="004D19E2"/>
    <w:rsid w:val="004E0F7C"/>
    <w:rsid w:val="004F457C"/>
    <w:rsid w:val="004F6DF3"/>
    <w:rsid w:val="005017AA"/>
    <w:rsid w:val="00521447"/>
    <w:rsid w:val="005264D1"/>
    <w:rsid w:val="00543E70"/>
    <w:rsid w:val="00547175"/>
    <w:rsid w:val="00551C27"/>
    <w:rsid w:val="00552B40"/>
    <w:rsid w:val="005551E9"/>
    <w:rsid w:val="00557913"/>
    <w:rsid w:val="00571C4C"/>
    <w:rsid w:val="00581F80"/>
    <w:rsid w:val="00583B90"/>
    <w:rsid w:val="00584BFC"/>
    <w:rsid w:val="005A6FFC"/>
    <w:rsid w:val="005B7BC7"/>
    <w:rsid w:val="005C0FB6"/>
    <w:rsid w:val="005C2888"/>
    <w:rsid w:val="005C3821"/>
    <w:rsid w:val="005D11A9"/>
    <w:rsid w:val="005D125D"/>
    <w:rsid w:val="005D6010"/>
    <w:rsid w:val="005D700D"/>
    <w:rsid w:val="005D7D23"/>
    <w:rsid w:val="006138E0"/>
    <w:rsid w:val="00614A96"/>
    <w:rsid w:val="00615114"/>
    <w:rsid w:val="0061743D"/>
    <w:rsid w:val="0062017A"/>
    <w:rsid w:val="0062262C"/>
    <w:rsid w:val="00625789"/>
    <w:rsid w:val="00625D50"/>
    <w:rsid w:val="00657D3C"/>
    <w:rsid w:val="00664807"/>
    <w:rsid w:val="00673506"/>
    <w:rsid w:val="00674B96"/>
    <w:rsid w:val="00676647"/>
    <w:rsid w:val="00684651"/>
    <w:rsid w:val="006906CE"/>
    <w:rsid w:val="0069611A"/>
    <w:rsid w:val="006966EC"/>
    <w:rsid w:val="0069741D"/>
    <w:rsid w:val="006A043A"/>
    <w:rsid w:val="006A749B"/>
    <w:rsid w:val="006B5A9D"/>
    <w:rsid w:val="006D3FB5"/>
    <w:rsid w:val="006D6D30"/>
    <w:rsid w:val="006E131A"/>
    <w:rsid w:val="006E4F27"/>
    <w:rsid w:val="006F30B4"/>
    <w:rsid w:val="006F739F"/>
    <w:rsid w:val="007004E7"/>
    <w:rsid w:val="007103CC"/>
    <w:rsid w:val="00715A75"/>
    <w:rsid w:val="00726C76"/>
    <w:rsid w:val="00726E6F"/>
    <w:rsid w:val="0072759A"/>
    <w:rsid w:val="0073346C"/>
    <w:rsid w:val="0073688E"/>
    <w:rsid w:val="00736AF6"/>
    <w:rsid w:val="007374F2"/>
    <w:rsid w:val="00751719"/>
    <w:rsid w:val="007547D6"/>
    <w:rsid w:val="00760C6F"/>
    <w:rsid w:val="0076173B"/>
    <w:rsid w:val="00761FD5"/>
    <w:rsid w:val="00766941"/>
    <w:rsid w:val="00771A81"/>
    <w:rsid w:val="00782A98"/>
    <w:rsid w:val="007928E2"/>
    <w:rsid w:val="007A3CCE"/>
    <w:rsid w:val="007B5E74"/>
    <w:rsid w:val="007B6264"/>
    <w:rsid w:val="007C2B08"/>
    <w:rsid w:val="007C61F7"/>
    <w:rsid w:val="007D4058"/>
    <w:rsid w:val="007E6B08"/>
    <w:rsid w:val="007E7A2B"/>
    <w:rsid w:val="007F3AAC"/>
    <w:rsid w:val="007F4A67"/>
    <w:rsid w:val="007F6BE8"/>
    <w:rsid w:val="007F7414"/>
    <w:rsid w:val="0080056B"/>
    <w:rsid w:val="0080697F"/>
    <w:rsid w:val="008105BD"/>
    <w:rsid w:val="0081477C"/>
    <w:rsid w:val="0081685D"/>
    <w:rsid w:val="0081736F"/>
    <w:rsid w:val="008248D7"/>
    <w:rsid w:val="008314D9"/>
    <w:rsid w:val="0083222D"/>
    <w:rsid w:val="00832845"/>
    <w:rsid w:val="008344A2"/>
    <w:rsid w:val="00842ACF"/>
    <w:rsid w:val="00847BBF"/>
    <w:rsid w:val="008500AE"/>
    <w:rsid w:val="0085781F"/>
    <w:rsid w:val="00871D8E"/>
    <w:rsid w:val="00872F0E"/>
    <w:rsid w:val="00875279"/>
    <w:rsid w:val="00880562"/>
    <w:rsid w:val="00881620"/>
    <w:rsid w:val="00886B19"/>
    <w:rsid w:val="0089449C"/>
    <w:rsid w:val="0089676C"/>
    <w:rsid w:val="00897F89"/>
    <w:rsid w:val="008B7228"/>
    <w:rsid w:val="008C046D"/>
    <w:rsid w:val="008F3E38"/>
    <w:rsid w:val="0090458A"/>
    <w:rsid w:val="00916C19"/>
    <w:rsid w:val="00920B06"/>
    <w:rsid w:val="00926684"/>
    <w:rsid w:val="00940FA1"/>
    <w:rsid w:val="00942674"/>
    <w:rsid w:val="009448C4"/>
    <w:rsid w:val="00944BF9"/>
    <w:rsid w:val="00945C76"/>
    <w:rsid w:val="009479C6"/>
    <w:rsid w:val="00947BB1"/>
    <w:rsid w:val="009608CB"/>
    <w:rsid w:val="00966607"/>
    <w:rsid w:val="00981906"/>
    <w:rsid w:val="0098475D"/>
    <w:rsid w:val="00990E67"/>
    <w:rsid w:val="00991A6B"/>
    <w:rsid w:val="0099690E"/>
    <w:rsid w:val="009A5177"/>
    <w:rsid w:val="009C0333"/>
    <w:rsid w:val="009C51BB"/>
    <w:rsid w:val="009C5CCE"/>
    <w:rsid w:val="009E2E0C"/>
    <w:rsid w:val="009E5ABB"/>
    <w:rsid w:val="00A0525C"/>
    <w:rsid w:val="00A109DB"/>
    <w:rsid w:val="00A11CC0"/>
    <w:rsid w:val="00A12846"/>
    <w:rsid w:val="00A13285"/>
    <w:rsid w:val="00A21493"/>
    <w:rsid w:val="00A36B54"/>
    <w:rsid w:val="00A443D9"/>
    <w:rsid w:val="00A562D9"/>
    <w:rsid w:val="00A70377"/>
    <w:rsid w:val="00A7436E"/>
    <w:rsid w:val="00A847EA"/>
    <w:rsid w:val="00A91F7B"/>
    <w:rsid w:val="00A93267"/>
    <w:rsid w:val="00A95AB0"/>
    <w:rsid w:val="00AA304F"/>
    <w:rsid w:val="00AC1B44"/>
    <w:rsid w:val="00AC66E7"/>
    <w:rsid w:val="00AD3F7B"/>
    <w:rsid w:val="00B11C5E"/>
    <w:rsid w:val="00B140A8"/>
    <w:rsid w:val="00B14FAC"/>
    <w:rsid w:val="00B156AD"/>
    <w:rsid w:val="00B31A29"/>
    <w:rsid w:val="00B33AF8"/>
    <w:rsid w:val="00B40176"/>
    <w:rsid w:val="00B50CE5"/>
    <w:rsid w:val="00B5399D"/>
    <w:rsid w:val="00B853AF"/>
    <w:rsid w:val="00B85620"/>
    <w:rsid w:val="00B85E99"/>
    <w:rsid w:val="00BA395C"/>
    <w:rsid w:val="00BB373A"/>
    <w:rsid w:val="00BC1C5F"/>
    <w:rsid w:val="00BC34C7"/>
    <w:rsid w:val="00BC5512"/>
    <w:rsid w:val="00BC72C2"/>
    <w:rsid w:val="00BD2335"/>
    <w:rsid w:val="00BD4853"/>
    <w:rsid w:val="00BE0A8D"/>
    <w:rsid w:val="00BE1904"/>
    <w:rsid w:val="00BF6E52"/>
    <w:rsid w:val="00C0090E"/>
    <w:rsid w:val="00C12C3A"/>
    <w:rsid w:val="00C35566"/>
    <w:rsid w:val="00C428D8"/>
    <w:rsid w:val="00C42F52"/>
    <w:rsid w:val="00C51A3C"/>
    <w:rsid w:val="00C530CD"/>
    <w:rsid w:val="00C53337"/>
    <w:rsid w:val="00C6024E"/>
    <w:rsid w:val="00C60706"/>
    <w:rsid w:val="00C63116"/>
    <w:rsid w:val="00C643BD"/>
    <w:rsid w:val="00C73326"/>
    <w:rsid w:val="00C73C32"/>
    <w:rsid w:val="00C84548"/>
    <w:rsid w:val="00C95EE5"/>
    <w:rsid w:val="00CA06D9"/>
    <w:rsid w:val="00CB19B5"/>
    <w:rsid w:val="00CB494E"/>
    <w:rsid w:val="00CB6680"/>
    <w:rsid w:val="00CC4A9C"/>
    <w:rsid w:val="00CF69DA"/>
    <w:rsid w:val="00D032D8"/>
    <w:rsid w:val="00D035F3"/>
    <w:rsid w:val="00D06FC4"/>
    <w:rsid w:val="00D20A74"/>
    <w:rsid w:val="00D22CA0"/>
    <w:rsid w:val="00D2356A"/>
    <w:rsid w:val="00D24434"/>
    <w:rsid w:val="00D44625"/>
    <w:rsid w:val="00D55330"/>
    <w:rsid w:val="00D60031"/>
    <w:rsid w:val="00D652EA"/>
    <w:rsid w:val="00D67816"/>
    <w:rsid w:val="00D8061B"/>
    <w:rsid w:val="00D81127"/>
    <w:rsid w:val="00D814E0"/>
    <w:rsid w:val="00D821B4"/>
    <w:rsid w:val="00D84A22"/>
    <w:rsid w:val="00D95EA2"/>
    <w:rsid w:val="00DA3909"/>
    <w:rsid w:val="00DA5FC0"/>
    <w:rsid w:val="00DC1064"/>
    <w:rsid w:val="00DC27AA"/>
    <w:rsid w:val="00DC3AEF"/>
    <w:rsid w:val="00DC6EB7"/>
    <w:rsid w:val="00DC7C9F"/>
    <w:rsid w:val="00DF53CC"/>
    <w:rsid w:val="00DF6DA8"/>
    <w:rsid w:val="00E03C94"/>
    <w:rsid w:val="00E2379B"/>
    <w:rsid w:val="00E243F5"/>
    <w:rsid w:val="00E255F9"/>
    <w:rsid w:val="00E272C0"/>
    <w:rsid w:val="00E35B51"/>
    <w:rsid w:val="00E361F0"/>
    <w:rsid w:val="00E40D42"/>
    <w:rsid w:val="00E415B6"/>
    <w:rsid w:val="00E44D33"/>
    <w:rsid w:val="00E45062"/>
    <w:rsid w:val="00E47F78"/>
    <w:rsid w:val="00E552F1"/>
    <w:rsid w:val="00E55CE4"/>
    <w:rsid w:val="00E60098"/>
    <w:rsid w:val="00E623C3"/>
    <w:rsid w:val="00E72CB5"/>
    <w:rsid w:val="00E82C2F"/>
    <w:rsid w:val="00E84744"/>
    <w:rsid w:val="00E87C14"/>
    <w:rsid w:val="00E93C45"/>
    <w:rsid w:val="00EA6AF9"/>
    <w:rsid w:val="00EA70D5"/>
    <w:rsid w:val="00EB6F6E"/>
    <w:rsid w:val="00ED5E72"/>
    <w:rsid w:val="00ED745A"/>
    <w:rsid w:val="00EE3192"/>
    <w:rsid w:val="00EF2EB9"/>
    <w:rsid w:val="00EF49B1"/>
    <w:rsid w:val="00F0129C"/>
    <w:rsid w:val="00F04B8C"/>
    <w:rsid w:val="00F16D5E"/>
    <w:rsid w:val="00F268DC"/>
    <w:rsid w:val="00F269AA"/>
    <w:rsid w:val="00F26C90"/>
    <w:rsid w:val="00F57417"/>
    <w:rsid w:val="00F72D02"/>
    <w:rsid w:val="00F76B89"/>
    <w:rsid w:val="00FB2984"/>
    <w:rsid w:val="00FB412D"/>
    <w:rsid w:val="00FB556C"/>
    <w:rsid w:val="00FB6A81"/>
    <w:rsid w:val="00FC1C28"/>
    <w:rsid w:val="00FC5679"/>
    <w:rsid w:val="00FC673C"/>
    <w:rsid w:val="00FD1279"/>
    <w:rsid w:val="00FD171B"/>
    <w:rsid w:val="00FD1E5C"/>
    <w:rsid w:val="00FD2214"/>
    <w:rsid w:val="00FE3144"/>
    <w:rsid w:val="00FE5F9C"/>
    <w:rsid w:val="00FF2C13"/>
    <w:rsid w:val="00FF6F7E"/>
    <w:rsid w:val="00FF7828"/>
    <w:rsid w:val="0AB0516A"/>
    <w:rsid w:val="12D22D49"/>
    <w:rsid w:val="12D75B2A"/>
    <w:rsid w:val="1E5F5D04"/>
    <w:rsid w:val="581909FA"/>
    <w:rsid w:val="59627C20"/>
    <w:rsid w:val="6767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A7A27"/>
  <w15:docId w15:val="{C47BB1D7-4E56-4658-8093-4C6CDFEA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jlqj4b">
    <w:name w:val="jlqj4b"/>
    <w:basedOn w:val="a0"/>
    <w:qFormat/>
  </w:style>
  <w:style w:type="character" w:customStyle="1" w:styleId="tgt">
    <w:name w:val="tgt"/>
    <w:basedOn w:val="a0"/>
    <w:qFormat/>
  </w:style>
  <w:style w:type="character" w:customStyle="1" w:styleId="skip">
    <w:name w:val="skip"/>
    <w:basedOn w:val="a0"/>
    <w:qFormat/>
  </w:style>
  <w:style w:type="character" w:customStyle="1" w:styleId="apple-converted-space">
    <w:name w:val="apple-converted-space"/>
    <w:basedOn w:val="a0"/>
    <w:qFormat/>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42C17-F063-4629-B15F-606046A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2021-01-18T08:40:00Z</cp:lastPrinted>
  <dcterms:created xsi:type="dcterms:W3CDTF">2021-03-07T23:54:00Z</dcterms:created>
  <dcterms:modified xsi:type="dcterms:W3CDTF">2021-03-13T03:21:00Z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