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4DAC" w14:textId="3CBF13C0" w:rsidR="00195C42" w:rsidRDefault="00BB6ABC" w:rsidP="004D51D0">
      <w:pPr>
        <w:spacing w:line="480" w:lineRule="auto"/>
        <w:rPr>
          <w:rFonts w:ascii="Cambria" w:hAnsi="Cambria"/>
          <w:b/>
          <w:bCs/>
        </w:rPr>
      </w:pPr>
      <w:r w:rsidRPr="00195C42">
        <w:rPr>
          <w:rFonts w:ascii="Cambria" w:hAnsi="Cambria"/>
          <w:b/>
          <w:bCs/>
          <w:lang w:val="en-US"/>
        </w:rPr>
        <w:t>S</w:t>
      </w:r>
      <w:r w:rsidR="00FE15A1">
        <w:rPr>
          <w:rFonts w:ascii="Cambria" w:hAnsi="Cambria"/>
          <w:b/>
          <w:bCs/>
          <w:lang w:val="en-US"/>
        </w:rPr>
        <w:t>3 Table</w:t>
      </w:r>
      <w:r w:rsidR="4C726379" w:rsidRPr="4C726379">
        <w:rPr>
          <w:rFonts w:ascii="Cambria" w:hAnsi="Cambria"/>
          <w:b/>
          <w:bCs/>
          <w:lang w:val="en-US"/>
        </w:rPr>
        <w:t xml:space="preserve">. </w:t>
      </w:r>
      <w:r w:rsidR="00185612">
        <w:rPr>
          <w:rFonts w:ascii="Cambria" w:hAnsi="Cambria"/>
          <w:b/>
          <w:bCs/>
          <w:lang w:val="en-US"/>
        </w:rPr>
        <w:tab/>
      </w:r>
      <w:r w:rsidR="4C726379" w:rsidRPr="4C726379">
        <w:rPr>
          <w:rFonts w:ascii="Cambria" w:hAnsi="Cambria"/>
          <w:b/>
          <w:bCs/>
          <w:lang w:val="en-US"/>
        </w:rPr>
        <w:t xml:space="preserve">Expanded </w:t>
      </w:r>
      <w:r w:rsidR="4C726379" w:rsidRPr="4C726379">
        <w:rPr>
          <w:rFonts w:ascii="Cambria" w:hAnsi="Cambria"/>
          <w:b/>
          <w:bCs/>
        </w:rPr>
        <w:t xml:space="preserve">recommendations for supportive team dynamics in sensitive participatory research in low resource </w:t>
      </w:r>
      <w:r w:rsidR="00964D99">
        <w:rPr>
          <w:rFonts w:ascii="Cambria" w:hAnsi="Cambria"/>
          <w:b/>
          <w:bCs/>
        </w:rPr>
        <w:t>settings</w:t>
      </w:r>
    </w:p>
    <w:tbl>
      <w:tblPr>
        <w:tblStyle w:val="TableGrid"/>
        <w:tblW w:w="0" w:type="auto"/>
        <w:tblLook w:val="04A0" w:firstRow="1" w:lastRow="0" w:firstColumn="1" w:lastColumn="0" w:noHBand="0" w:noVBand="1"/>
      </w:tblPr>
      <w:tblGrid>
        <w:gridCol w:w="9016"/>
      </w:tblGrid>
      <w:tr w:rsidR="008965AD" w:rsidRPr="00185612" w14:paraId="5B05A9F9" w14:textId="77777777" w:rsidTr="4C726379">
        <w:tc>
          <w:tcPr>
            <w:tcW w:w="9016" w:type="dxa"/>
            <w:shd w:val="clear" w:color="auto" w:fill="000000" w:themeFill="text1"/>
          </w:tcPr>
          <w:p w14:paraId="366BA780" w14:textId="72D7BCAF" w:rsidR="008965AD" w:rsidRPr="00185612" w:rsidRDefault="008965AD" w:rsidP="00637CA5">
            <w:pPr>
              <w:spacing w:line="480" w:lineRule="auto"/>
              <w:rPr>
                <w:rFonts w:cstheme="minorHAnsi"/>
              </w:rPr>
            </w:pPr>
            <w:r w:rsidRPr="00185612">
              <w:rPr>
                <w:rFonts w:cstheme="minorHAnsi"/>
                <w:b/>
                <w:bCs/>
              </w:rPr>
              <w:t>Priority Area</w:t>
            </w:r>
          </w:p>
        </w:tc>
      </w:tr>
      <w:tr w:rsidR="008965AD" w:rsidRPr="00185612" w14:paraId="2B3CE2DA" w14:textId="77777777" w:rsidTr="4C726379">
        <w:tc>
          <w:tcPr>
            <w:tcW w:w="9016" w:type="dxa"/>
            <w:shd w:val="clear" w:color="auto" w:fill="D9D9D9" w:themeFill="background1" w:themeFillShade="D9"/>
          </w:tcPr>
          <w:p w14:paraId="03569272" w14:textId="3889A46A" w:rsidR="008965AD" w:rsidRPr="00185612" w:rsidRDefault="008965AD" w:rsidP="00637CA5">
            <w:pPr>
              <w:spacing w:line="480" w:lineRule="auto"/>
              <w:rPr>
                <w:rFonts w:cstheme="minorHAnsi"/>
              </w:rPr>
            </w:pPr>
            <w:r w:rsidRPr="00185612">
              <w:rPr>
                <w:rFonts w:cstheme="minorHAnsi"/>
                <w:b/>
                <w:bCs/>
                <w:i/>
                <w:iCs/>
              </w:rPr>
              <w:t>Team Communication Culture</w:t>
            </w:r>
            <w:r w:rsidR="00BD2A60">
              <w:rPr>
                <w:rFonts w:cstheme="minorHAnsi"/>
                <w:b/>
                <w:bCs/>
                <w:i/>
                <w:iCs/>
              </w:rPr>
              <w:t xml:space="preserve"> </w:t>
            </w:r>
            <w:r w:rsidR="00BD2A60" w:rsidRPr="00D4578A">
              <w:rPr>
                <w:rFonts w:cstheme="minorHAnsi"/>
                <w:b/>
                <w:bCs/>
              </w:rPr>
              <w:t>(C1-C7)</w:t>
            </w:r>
          </w:p>
        </w:tc>
      </w:tr>
      <w:tr w:rsidR="008965AD" w:rsidRPr="00185612" w14:paraId="18296870" w14:textId="77777777" w:rsidTr="4C726379">
        <w:tc>
          <w:tcPr>
            <w:tcW w:w="9016" w:type="dxa"/>
          </w:tcPr>
          <w:p w14:paraId="738A353D" w14:textId="29340867" w:rsidR="008965AD" w:rsidRPr="00185612" w:rsidRDefault="4C726379" w:rsidP="00532C8C">
            <w:pPr>
              <w:pStyle w:val="ListParagraph"/>
              <w:numPr>
                <w:ilvl w:val="0"/>
                <w:numId w:val="1"/>
              </w:numPr>
              <w:spacing w:after="0" w:line="480" w:lineRule="auto"/>
              <w:rPr>
                <w:rFonts w:cstheme="minorHAnsi"/>
              </w:rPr>
            </w:pPr>
            <w:r w:rsidRPr="00185612">
              <w:rPr>
                <w:rFonts w:cstheme="minorHAnsi"/>
              </w:rPr>
              <w:t>Explicitly convey messages of openness to and appreciation for discussion including alternative and/or dissenting views with community-based and junior colleagues from project inception</w:t>
            </w:r>
            <w:r w:rsidR="00964D99" w:rsidRPr="00185612">
              <w:rPr>
                <w:rFonts w:cstheme="minorHAnsi"/>
              </w:rPr>
              <w:t>,</w:t>
            </w:r>
            <w:r w:rsidRPr="00185612">
              <w:rPr>
                <w:rFonts w:cstheme="minorHAnsi"/>
              </w:rPr>
              <w:t xml:space="preserve"> and reinforce such messages throughout the project cycle to minimise self-silencing</w:t>
            </w:r>
            <w:r w:rsidR="00737877">
              <w:rPr>
                <w:rFonts w:cstheme="minorHAnsi"/>
              </w:rPr>
              <w:t xml:space="preserve"> [2]</w:t>
            </w:r>
            <w:r w:rsidRPr="00185612">
              <w:rPr>
                <w:rFonts w:cstheme="minorHAnsi"/>
              </w:rPr>
              <w:t>.</w:t>
            </w:r>
          </w:p>
        </w:tc>
      </w:tr>
      <w:tr w:rsidR="008965AD" w:rsidRPr="00185612" w14:paraId="78D4C168" w14:textId="77777777" w:rsidTr="4C726379">
        <w:tc>
          <w:tcPr>
            <w:tcW w:w="9016" w:type="dxa"/>
          </w:tcPr>
          <w:p w14:paraId="07984D29" w14:textId="36A1D614" w:rsidR="008965AD" w:rsidRPr="00185612" w:rsidRDefault="4C726379" w:rsidP="00532C8C">
            <w:pPr>
              <w:pStyle w:val="ListParagraph"/>
              <w:numPr>
                <w:ilvl w:val="0"/>
                <w:numId w:val="1"/>
              </w:numPr>
              <w:spacing w:after="0" w:line="480" w:lineRule="auto"/>
              <w:rPr>
                <w:rFonts w:cstheme="minorHAnsi"/>
              </w:rPr>
            </w:pPr>
            <w:r w:rsidRPr="00185612">
              <w:rPr>
                <w:rFonts w:cstheme="minorHAnsi"/>
              </w:rPr>
              <w:t>Agree clear roles and responsibilities in the team that reflect accountability from all sides regardless of seniority and/or experience. Consider providing handbooks delineating roles and responsibilities (and standards as per below) and refer to them as necessary throughout the project cycle.</w:t>
            </w:r>
          </w:p>
        </w:tc>
      </w:tr>
      <w:tr w:rsidR="008965AD" w:rsidRPr="00185612" w14:paraId="23CAF8D4" w14:textId="77777777" w:rsidTr="4C726379">
        <w:tc>
          <w:tcPr>
            <w:tcW w:w="9016" w:type="dxa"/>
          </w:tcPr>
          <w:p w14:paraId="150CB6BC" w14:textId="33C1C4EA" w:rsidR="008965AD" w:rsidRPr="00185612" w:rsidRDefault="008965AD" w:rsidP="00532C8C">
            <w:pPr>
              <w:pStyle w:val="ListParagraph"/>
              <w:numPr>
                <w:ilvl w:val="0"/>
                <w:numId w:val="1"/>
              </w:numPr>
              <w:spacing w:after="0" w:line="480" w:lineRule="auto"/>
              <w:rPr>
                <w:rFonts w:cstheme="minorHAnsi"/>
              </w:rPr>
            </w:pPr>
            <w:r w:rsidRPr="00185612">
              <w:rPr>
                <w:rFonts w:cstheme="minorHAnsi"/>
              </w:rPr>
              <w:t>Agree standards of comportment for all including zero-tolerance policies where necessary and considering the sensitivity of research subjects. Clear expectation management from all sides fosters professionalism regardless of role.</w:t>
            </w:r>
            <w:r w:rsidR="00C3010B" w:rsidRPr="00185612">
              <w:rPr>
                <w:rFonts w:cstheme="minorHAnsi"/>
              </w:rPr>
              <w:t xml:space="preserve"> </w:t>
            </w:r>
            <w:r w:rsidR="0061793A" w:rsidRPr="00185612">
              <w:rPr>
                <w:rFonts w:cstheme="minorHAnsi"/>
              </w:rPr>
              <w:t>Explicate non-negotiable standards and co-agree others</w:t>
            </w:r>
            <w:r w:rsidR="00404652" w:rsidRPr="00185612">
              <w:rPr>
                <w:rFonts w:cstheme="minorHAnsi"/>
              </w:rPr>
              <w:t xml:space="preserve"> in training and provide</w:t>
            </w:r>
            <w:r w:rsidR="0061793A" w:rsidRPr="00185612">
              <w:rPr>
                <w:rFonts w:cstheme="minorHAnsi"/>
              </w:rPr>
              <w:t xml:space="preserve"> them</w:t>
            </w:r>
            <w:r w:rsidR="00404652" w:rsidRPr="00185612">
              <w:rPr>
                <w:rFonts w:cstheme="minorHAnsi"/>
              </w:rPr>
              <w:t xml:space="preserve"> in multiple formats, </w:t>
            </w:r>
            <w:r w:rsidR="0061793A" w:rsidRPr="00185612">
              <w:rPr>
                <w:rFonts w:cstheme="minorHAnsi"/>
              </w:rPr>
              <w:t>e.g.</w:t>
            </w:r>
            <w:r w:rsidR="00404652" w:rsidRPr="00185612">
              <w:rPr>
                <w:rFonts w:cstheme="minorHAnsi"/>
              </w:rPr>
              <w:t xml:space="preserve"> a role handbook, to all team members.</w:t>
            </w:r>
          </w:p>
        </w:tc>
      </w:tr>
      <w:tr w:rsidR="008965AD" w:rsidRPr="00185612" w14:paraId="1423AE8E" w14:textId="77777777" w:rsidTr="4C726379">
        <w:tc>
          <w:tcPr>
            <w:tcW w:w="9016" w:type="dxa"/>
          </w:tcPr>
          <w:p w14:paraId="3CB8AF23" w14:textId="0082811A" w:rsidR="008965AD" w:rsidRPr="00185612" w:rsidRDefault="008965AD" w:rsidP="00532C8C">
            <w:pPr>
              <w:pStyle w:val="ListParagraph"/>
              <w:numPr>
                <w:ilvl w:val="0"/>
                <w:numId w:val="1"/>
              </w:numPr>
              <w:spacing w:after="0" w:line="480" w:lineRule="auto"/>
              <w:rPr>
                <w:rFonts w:cstheme="minorHAnsi"/>
              </w:rPr>
            </w:pPr>
            <w:r w:rsidRPr="00185612">
              <w:rPr>
                <w:rFonts w:cstheme="minorHAnsi"/>
              </w:rPr>
              <w:t>Consider pairing CBRs with a core team member</w:t>
            </w:r>
            <w:r w:rsidR="00177BB4" w:rsidRPr="00185612">
              <w:rPr>
                <w:rFonts w:cstheme="minorHAnsi"/>
              </w:rPr>
              <w:t xml:space="preserve"> </w:t>
            </w:r>
            <w:r w:rsidR="00491318" w:rsidRPr="00185612">
              <w:rPr>
                <w:rFonts w:cstheme="minorHAnsi"/>
              </w:rPr>
              <w:t>proficient in CBRs’ first language</w:t>
            </w:r>
            <w:r w:rsidR="00262683" w:rsidRPr="00185612">
              <w:rPr>
                <w:rFonts w:cstheme="minorHAnsi"/>
              </w:rPr>
              <w:t>, both of whom</w:t>
            </w:r>
            <w:r w:rsidRPr="00185612">
              <w:rPr>
                <w:rFonts w:cstheme="minorHAnsi"/>
              </w:rPr>
              <w:t xml:space="preserve"> will</w:t>
            </w:r>
            <w:r w:rsidR="00691680" w:rsidRPr="00185612">
              <w:rPr>
                <w:rFonts w:cstheme="minorHAnsi"/>
              </w:rPr>
              <w:t xml:space="preserve"> then</w:t>
            </w:r>
            <w:r w:rsidRPr="00185612">
              <w:rPr>
                <w:rFonts w:cstheme="minorHAnsi"/>
              </w:rPr>
              <w:t xml:space="preserve"> remain stable and accessible</w:t>
            </w:r>
            <w:r w:rsidR="007D4E8B" w:rsidRPr="00185612">
              <w:rPr>
                <w:rFonts w:cstheme="minorHAnsi"/>
              </w:rPr>
              <w:t>, communicating availability</w:t>
            </w:r>
            <w:r w:rsidRPr="00185612">
              <w:rPr>
                <w:rFonts w:cstheme="minorHAnsi"/>
              </w:rPr>
              <w:t xml:space="preserve"> for </w:t>
            </w:r>
            <w:r w:rsidR="00A56FFC" w:rsidRPr="00185612">
              <w:rPr>
                <w:rFonts w:cstheme="minorHAnsi"/>
              </w:rPr>
              <w:t xml:space="preserve">supervision and </w:t>
            </w:r>
            <w:r w:rsidRPr="00185612">
              <w:rPr>
                <w:rFonts w:cstheme="minorHAnsi"/>
              </w:rPr>
              <w:t>discussions throughout the project.</w:t>
            </w:r>
            <w:r w:rsidR="007D4E8B" w:rsidRPr="00185612">
              <w:rPr>
                <w:rFonts w:cstheme="minorHAnsi"/>
              </w:rPr>
              <w:t>*</w:t>
            </w:r>
          </w:p>
        </w:tc>
      </w:tr>
      <w:tr w:rsidR="008965AD" w:rsidRPr="00185612" w14:paraId="7B70A0FD" w14:textId="77777777" w:rsidTr="4C726379">
        <w:tc>
          <w:tcPr>
            <w:tcW w:w="9016" w:type="dxa"/>
          </w:tcPr>
          <w:p w14:paraId="37EC3316" w14:textId="45E2DE25" w:rsidR="008965AD" w:rsidRPr="00185612" w:rsidRDefault="73BF165C" w:rsidP="00532C8C">
            <w:pPr>
              <w:pStyle w:val="ListParagraph"/>
              <w:numPr>
                <w:ilvl w:val="0"/>
                <w:numId w:val="1"/>
              </w:numPr>
              <w:spacing w:after="0" w:line="480" w:lineRule="auto"/>
              <w:rPr>
                <w:rFonts w:cstheme="minorHAnsi"/>
              </w:rPr>
            </w:pPr>
            <w:r w:rsidRPr="00185612">
              <w:rPr>
                <w:rFonts w:cstheme="minorHAnsi"/>
              </w:rPr>
              <w:t>Confirm team communication mechanisms, whether and under what circumstances particular mechanisms should be selected (e.g. debriefs vs. team meetings), and offer multiple methods for connection (e.g. phone, email, messaging app, in-person, group and one-to-one discussions, etc.).</w:t>
            </w:r>
            <w:r w:rsidR="004147B6" w:rsidRPr="00185612">
              <w:rPr>
                <w:rFonts w:cstheme="minorHAnsi"/>
              </w:rPr>
              <w:t xml:space="preserve"> </w:t>
            </w:r>
            <w:r w:rsidR="00184110" w:rsidRPr="00185612">
              <w:rPr>
                <w:rFonts w:cstheme="minorHAnsi"/>
              </w:rPr>
              <w:t>The latter</w:t>
            </w:r>
            <w:r w:rsidR="004147B6" w:rsidRPr="00185612">
              <w:rPr>
                <w:rFonts w:cstheme="minorHAnsi"/>
              </w:rPr>
              <w:t xml:space="preserve"> is particularly important for </w:t>
            </w:r>
            <w:r w:rsidR="00AA50BB" w:rsidRPr="00185612">
              <w:rPr>
                <w:rFonts w:cstheme="minorHAnsi"/>
              </w:rPr>
              <w:t xml:space="preserve">settings with unreliable or </w:t>
            </w:r>
            <w:r w:rsidR="00103F63" w:rsidRPr="00185612">
              <w:rPr>
                <w:rFonts w:cstheme="minorHAnsi"/>
              </w:rPr>
              <w:t xml:space="preserve">deficient </w:t>
            </w:r>
            <w:r w:rsidR="00103F63" w:rsidRPr="00185612">
              <w:rPr>
                <w:rFonts w:cstheme="minorHAnsi"/>
              </w:rPr>
              <w:lastRenderedPageBreak/>
              <w:t xml:space="preserve">access to telecommunication </w:t>
            </w:r>
            <w:r w:rsidR="00184110" w:rsidRPr="00185612">
              <w:rPr>
                <w:rFonts w:cstheme="minorHAnsi"/>
              </w:rPr>
              <w:t xml:space="preserve">resources and/or CBRs who may not </w:t>
            </w:r>
            <w:r w:rsidR="00515B64" w:rsidRPr="00185612">
              <w:rPr>
                <w:rFonts w:cstheme="minorHAnsi"/>
              </w:rPr>
              <w:t>typically have access to all communication devices.</w:t>
            </w:r>
          </w:p>
        </w:tc>
      </w:tr>
      <w:tr w:rsidR="008965AD" w:rsidRPr="00185612" w14:paraId="3E761CF4" w14:textId="77777777" w:rsidTr="4C726379">
        <w:tc>
          <w:tcPr>
            <w:tcW w:w="9016" w:type="dxa"/>
          </w:tcPr>
          <w:p w14:paraId="35B6BCCF" w14:textId="38913D32" w:rsidR="008965AD" w:rsidRPr="00185612" w:rsidRDefault="4C726379" w:rsidP="00532C8C">
            <w:pPr>
              <w:pStyle w:val="ListParagraph"/>
              <w:numPr>
                <w:ilvl w:val="0"/>
                <w:numId w:val="1"/>
              </w:numPr>
              <w:spacing w:after="0" w:line="480" w:lineRule="auto"/>
              <w:rPr>
                <w:rFonts w:cstheme="minorHAnsi"/>
              </w:rPr>
            </w:pPr>
            <w:r w:rsidRPr="00185612">
              <w:rPr>
                <w:rFonts w:cstheme="minorHAnsi"/>
              </w:rPr>
              <w:lastRenderedPageBreak/>
              <w:t xml:space="preserve">Core team members to maintain availability – reliably – through multiple channels during the project. </w:t>
            </w:r>
          </w:p>
        </w:tc>
      </w:tr>
      <w:tr w:rsidR="00637CA5" w:rsidRPr="00185612" w14:paraId="6DBE44C4" w14:textId="77777777" w:rsidTr="4C726379">
        <w:tc>
          <w:tcPr>
            <w:tcW w:w="9016" w:type="dxa"/>
          </w:tcPr>
          <w:p w14:paraId="4F3635E4" w14:textId="2A1CAE33" w:rsidR="00637CA5" w:rsidRPr="00185612" w:rsidRDefault="00637CA5" w:rsidP="00532C8C">
            <w:pPr>
              <w:pStyle w:val="ListParagraph"/>
              <w:numPr>
                <w:ilvl w:val="0"/>
                <w:numId w:val="1"/>
              </w:numPr>
              <w:spacing w:after="0" w:line="480" w:lineRule="auto"/>
              <w:rPr>
                <w:rFonts w:cstheme="minorHAnsi"/>
              </w:rPr>
            </w:pPr>
            <w:r w:rsidRPr="00185612">
              <w:rPr>
                <w:rFonts w:cstheme="minorHAnsi"/>
              </w:rPr>
              <w:t>Normalise respectful</w:t>
            </w:r>
            <w:r w:rsidR="00EF2CEF" w:rsidRPr="00185612">
              <w:rPr>
                <w:rFonts w:cstheme="minorHAnsi"/>
              </w:rPr>
              <w:t xml:space="preserve">, </w:t>
            </w:r>
            <w:r w:rsidRPr="00185612">
              <w:rPr>
                <w:rFonts w:cstheme="minorHAnsi"/>
              </w:rPr>
              <w:t>consistent</w:t>
            </w:r>
            <w:r w:rsidR="00EF2CEF" w:rsidRPr="00185612">
              <w:rPr>
                <w:rFonts w:cstheme="minorHAnsi"/>
              </w:rPr>
              <w:t xml:space="preserve">, and responsive </w:t>
            </w:r>
            <w:r w:rsidRPr="00185612">
              <w:rPr>
                <w:rFonts w:cstheme="minorHAnsi"/>
              </w:rPr>
              <w:t xml:space="preserve">feedback practices amongst </w:t>
            </w:r>
            <w:r w:rsidR="00C673D3" w:rsidRPr="00185612">
              <w:rPr>
                <w:rFonts w:cstheme="minorHAnsi"/>
              </w:rPr>
              <w:t xml:space="preserve">all </w:t>
            </w:r>
            <w:r w:rsidRPr="00185612">
              <w:rPr>
                <w:rFonts w:cstheme="minorHAnsi"/>
              </w:rPr>
              <w:t>colleagues</w:t>
            </w:r>
            <w:r w:rsidR="009C0768" w:rsidRPr="00185612">
              <w:rPr>
                <w:rFonts w:cstheme="minorHAnsi"/>
              </w:rPr>
              <w:t>*</w:t>
            </w:r>
            <w:r w:rsidR="003B0D57" w:rsidRPr="00185612">
              <w:rPr>
                <w:rFonts w:cstheme="minorHAnsi"/>
              </w:rPr>
              <w:t xml:space="preserve">, e.g. </w:t>
            </w:r>
            <w:r w:rsidR="00B0602C" w:rsidRPr="00185612">
              <w:rPr>
                <w:rFonts w:cstheme="minorHAnsi"/>
              </w:rPr>
              <w:t>through</w:t>
            </w:r>
            <w:r w:rsidR="003B0D57" w:rsidRPr="00185612">
              <w:rPr>
                <w:rFonts w:cstheme="minorHAnsi"/>
              </w:rPr>
              <w:t xml:space="preserve"> group debrief</w:t>
            </w:r>
            <w:r w:rsidR="00B0602C" w:rsidRPr="00185612">
              <w:rPr>
                <w:rFonts w:cstheme="minorHAnsi"/>
              </w:rPr>
              <w:t>s</w:t>
            </w:r>
            <w:r w:rsidR="00DD38A7" w:rsidRPr="00185612">
              <w:rPr>
                <w:rFonts w:cstheme="minorHAnsi"/>
              </w:rPr>
              <w:t xml:space="preserve">, role play, </w:t>
            </w:r>
            <w:r w:rsidR="00B0602C" w:rsidRPr="00185612">
              <w:rPr>
                <w:rFonts w:cstheme="minorHAnsi"/>
              </w:rPr>
              <w:t xml:space="preserve">and </w:t>
            </w:r>
            <w:r w:rsidR="00DD38A7" w:rsidRPr="00185612">
              <w:rPr>
                <w:rFonts w:cstheme="minorHAnsi"/>
              </w:rPr>
              <w:t xml:space="preserve">modelling </w:t>
            </w:r>
            <w:r w:rsidR="00B0602C" w:rsidRPr="00185612">
              <w:rPr>
                <w:rFonts w:cstheme="minorHAnsi"/>
              </w:rPr>
              <w:t>openness to feedback</w:t>
            </w:r>
            <w:r w:rsidR="00DD38A7" w:rsidRPr="00185612">
              <w:rPr>
                <w:rFonts w:cstheme="minorHAnsi"/>
              </w:rPr>
              <w:t xml:space="preserve"> in view of junior colleagues</w:t>
            </w:r>
            <w:r w:rsidRPr="00185612">
              <w:rPr>
                <w:rFonts w:cstheme="minorHAnsi"/>
              </w:rPr>
              <w:t xml:space="preserve">. </w:t>
            </w:r>
          </w:p>
        </w:tc>
      </w:tr>
      <w:tr w:rsidR="008965AD" w:rsidRPr="00185612" w14:paraId="654EFCAC" w14:textId="77777777" w:rsidTr="4C726379">
        <w:tc>
          <w:tcPr>
            <w:tcW w:w="9016" w:type="dxa"/>
            <w:shd w:val="clear" w:color="auto" w:fill="D9D9D9" w:themeFill="background1" w:themeFillShade="D9"/>
          </w:tcPr>
          <w:p w14:paraId="7122F647" w14:textId="259BD4BF" w:rsidR="008965AD" w:rsidRPr="00185612" w:rsidRDefault="00A25BE4" w:rsidP="00637CA5">
            <w:pPr>
              <w:spacing w:line="480" w:lineRule="auto"/>
              <w:jc w:val="both"/>
              <w:rPr>
                <w:rFonts w:cstheme="minorHAnsi"/>
                <w:b/>
                <w:bCs/>
              </w:rPr>
            </w:pPr>
            <w:r w:rsidRPr="00185612">
              <w:rPr>
                <w:rFonts w:cstheme="minorHAnsi"/>
                <w:b/>
                <w:bCs/>
                <w:i/>
                <w:iCs/>
              </w:rPr>
              <w:t>Project Design</w:t>
            </w:r>
            <w:r w:rsidR="00BD2A60">
              <w:rPr>
                <w:rFonts w:cstheme="minorHAnsi"/>
                <w:b/>
                <w:bCs/>
                <w:i/>
                <w:iCs/>
              </w:rPr>
              <w:t xml:space="preserve"> </w:t>
            </w:r>
            <w:r w:rsidR="00BD2A60" w:rsidRPr="00D4578A">
              <w:rPr>
                <w:rFonts w:cstheme="minorHAnsi"/>
                <w:b/>
                <w:bCs/>
              </w:rPr>
              <w:t>(D1-D7)</w:t>
            </w:r>
          </w:p>
        </w:tc>
      </w:tr>
      <w:tr w:rsidR="008965AD" w:rsidRPr="00185612" w14:paraId="394A3F2F" w14:textId="77777777" w:rsidTr="4C726379">
        <w:tc>
          <w:tcPr>
            <w:tcW w:w="9016" w:type="dxa"/>
          </w:tcPr>
          <w:p w14:paraId="181002DB" w14:textId="0486BBCC" w:rsidR="008965AD" w:rsidRPr="00185612" w:rsidRDefault="4C726379" w:rsidP="00020878">
            <w:pPr>
              <w:pStyle w:val="ListParagraph"/>
              <w:numPr>
                <w:ilvl w:val="0"/>
                <w:numId w:val="6"/>
              </w:numPr>
              <w:spacing w:after="0" w:line="480" w:lineRule="auto"/>
              <w:rPr>
                <w:rFonts w:cstheme="minorHAnsi"/>
              </w:rPr>
            </w:pPr>
            <w:r w:rsidRPr="00185612">
              <w:rPr>
                <w:rFonts w:cstheme="minorHAnsi"/>
              </w:rPr>
              <w:t>Structure data collection phases to allow for repeated opportunities for CBRs to apply, test, and improve upon data collection skills, e.g. building in multiple, piloting and/or mock rounds, as one-off data collection events limit learning and growth.</w:t>
            </w:r>
          </w:p>
        </w:tc>
      </w:tr>
      <w:tr w:rsidR="008965AD" w:rsidRPr="00185612" w14:paraId="5CE31F41" w14:textId="77777777" w:rsidTr="4C726379">
        <w:tc>
          <w:tcPr>
            <w:tcW w:w="9016" w:type="dxa"/>
          </w:tcPr>
          <w:p w14:paraId="32ED83B9" w14:textId="44C2D82C" w:rsidR="008965AD" w:rsidRPr="00185612" w:rsidRDefault="00A25BE4" w:rsidP="00020878">
            <w:pPr>
              <w:pStyle w:val="ListParagraph"/>
              <w:numPr>
                <w:ilvl w:val="0"/>
                <w:numId w:val="6"/>
              </w:numPr>
              <w:spacing w:after="0" w:line="480" w:lineRule="auto"/>
              <w:rPr>
                <w:rFonts w:cstheme="minorHAnsi"/>
              </w:rPr>
            </w:pPr>
            <w:r w:rsidRPr="00185612">
              <w:rPr>
                <w:rFonts w:cstheme="minorHAnsi"/>
              </w:rPr>
              <w:t>Build-in intentional and protected opportunities for self-* and team-based reflection with CBRs, e.g. paired debriefs with a core team member, inter-round workshops. Consider synthesising such reflections in a post-project review.</w:t>
            </w:r>
          </w:p>
        </w:tc>
      </w:tr>
      <w:tr w:rsidR="008965AD" w:rsidRPr="00185612" w14:paraId="7C6D50A2" w14:textId="77777777" w:rsidTr="4C726379">
        <w:tc>
          <w:tcPr>
            <w:tcW w:w="9016" w:type="dxa"/>
          </w:tcPr>
          <w:p w14:paraId="0D93DC0B" w14:textId="5BA99FD8" w:rsidR="008965AD" w:rsidRPr="00185612" w:rsidRDefault="4C726379" w:rsidP="00020878">
            <w:pPr>
              <w:pStyle w:val="ListParagraph"/>
              <w:numPr>
                <w:ilvl w:val="0"/>
                <w:numId w:val="6"/>
              </w:numPr>
              <w:spacing w:after="0" w:line="480" w:lineRule="auto"/>
              <w:rPr>
                <w:rFonts w:cstheme="minorHAnsi"/>
              </w:rPr>
            </w:pPr>
            <w:r w:rsidRPr="00185612">
              <w:rPr>
                <w:rFonts w:cstheme="minorHAnsi"/>
              </w:rPr>
              <w:t xml:space="preserve">Anticipate the need for and be supportive of additional practice sessions for CBRs.* We first held a two-day training for the study (in addition to previous parent project training), but reconvened for additional </w:t>
            </w:r>
            <w:r w:rsidR="00A72E97" w:rsidRPr="00185612">
              <w:rPr>
                <w:rFonts w:cstheme="minorHAnsi"/>
              </w:rPr>
              <w:t>time</w:t>
            </w:r>
            <w:r w:rsidRPr="00185612">
              <w:rPr>
                <w:rFonts w:cstheme="minorHAnsi"/>
              </w:rPr>
              <w:t xml:space="preserve"> after identifying outstanding needs and anxieties.</w:t>
            </w:r>
            <w:r w:rsidR="00425D95" w:rsidRPr="00185612">
              <w:rPr>
                <w:rFonts w:cstheme="minorHAnsi"/>
              </w:rPr>
              <w:t xml:space="preserve"> CBRs took initiative to self-organise practice sessions, and core team members set up extra one-on-one mock sessions.</w:t>
            </w:r>
            <w:r w:rsidRPr="00185612">
              <w:rPr>
                <w:rFonts w:cstheme="minorHAnsi"/>
              </w:rPr>
              <w:t xml:space="preserve">  </w:t>
            </w:r>
          </w:p>
        </w:tc>
      </w:tr>
      <w:tr w:rsidR="008965AD" w:rsidRPr="00185612" w14:paraId="7CBEAD0B" w14:textId="77777777" w:rsidTr="4C726379">
        <w:tc>
          <w:tcPr>
            <w:tcW w:w="9016" w:type="dxa"/>
          </w:tcPr>
          <w:p w14:paraId="152D0FAA" w14:textId="05584C83" w:rsidR="008965AD" w:rsidRPr="00185612" w:rsidRDefault="00A25BE4" w:rsidP="00020878">
            <w:pPr>
              <w:pStyle w:val="ListParagraph"/>
              <w:numPr>
                <w:ilvl w:val="0"/>
                <w:numId w:val="6"/>
              </w:numPr>
              <w:spacing w:after="0" w:line="480" w:lineRule="auto"/>
              <w:rPr>
                <w:rFonts w:cstheme="minorHAnsi"/>
              </w:rPr>
            </w:pPr>
            <w:r w:rsidRPr="00185612">
              <w:rPr>
                <w:rFonts w:cstheme="minorHAnsi"/>
              </w:rPr>
              <w:t xml:space="preserve">Support decision-making by CBRs by creating ‘choice opportunities’ throughout the project lifecycle. Even with </w:t>
            </w:r>
            <w:r w:rsidR="00730ACF" w:rsidRPr="00185612">
              <w:rPr>
                <w:rFonts w:cstheme="minorHAnsi"/>
              </w:rPr>
              <w:t xml:space="preserve">set </w:t>
            </w:r>
            <w:r w:rsidRPr="00185612">
              <w:rPr>
                <w:rFonts w:cstheme="minorHAnsi"/>
              </w:rPr>
              <w:t>parameters for manageability and standards across the team, power in some key decisions could favour CBRs.</w:t>
            </w:r>
            <w:r w:rsidR="00EA0112" w:rsidRPr="00185612">
              <w:rPr>
                <w:rFonts w:cstheme="minorHAnsi"/>
              </w:rPr>
              <w:t xml:space="preserve"> </w:t>
            </w:r>
            <w:r w:rsidR="009164B7" w:rsidRPr="00185612">
              <w:rPr>
                <w:rFonts w:cstheme="minorHAnsi"/>
              </w:rPr>
              <w:t xml:space="preserve">Our </w:t>
            </w:r>
            <w:r w:rsidR="00EA0112" w:rsidRPr="00185612">
              <w:rPr>
                <w:rFonts w:cstheme="minorHAnsi"/>
              </w:rPr>
              <w:t xml:space="preserve">CBRs </w:t>
            </w:r>
            <w:r w:rsidR="00CA6B5D" w:rsidRPr="00185612">
              <w:rPr>
                <w:rFonts w:cstheme="minorHAnsi"/>
              </w:rPr>
              <w:t xml:space="preserve">chose topics by </w:t>
            </w:r>
            <w:r w:rsidR="002F5885" w:rsidRPr="00185612">
              <w:rPr>
                <w:rFonts w:cstheme="minorHAnsi"/>
              </w:rPr>
              <w:t xml:space="preserve">geographic and gendered teams </w:t>
            </w:r>
            <w:r w:rsidR="00CA6B5D" w:rsidRPr="00185612">
              <w:rPr>
                <w:rFonts w:cstheme="minorHAnsi"/>
              </w:rPr>
              <w:t>in</w:t>
            </w:r>
            <w:r w:rsidR="00FF3C95" w:rsidRPr="00185612">
              <w:rPr>
                <w:rFonts w:cstheme="minorHAnsi"/>
              </w:rPr>
              <w:t xml:space="preserve"> the parent study</w:t>
            </w:r>
            <w:r w:rsidR="002F5885" w:rsidRPr="00185612">
              <w:rPr>
                <w:rFonts w:cstheme="minorHAnsi"/>
              </w:rPr>
              <w:t xml:space="preserve">; a choice </w:t>
            </w:r>
            <w:r w:rsidR="00CA6B5D" w:rsidRPr="00185612">
              <w:rPr>
                <w:rFonts w:cstheme="minorHAnsi"/>
              </w:rPr>
              <w:t xml:space="preserve">which </w:t>
            </w:r>
            <w:r w:rsidR="002F5885" w:rsidRPr="00185612">
              <w:rPr>
                <w:rFonts w:cstheme="minorHAnsi"/>
              </w:rPr>
              <w:t xml:space="preserve">benefitted </w:t>
            </w:r>
            <w:r w:rsidR="00CA6B5D" w:rsidRPr="00185612">
              <w:rPr>
                <w:rFonts w:cstheme="minorHAnsi"/>
              </w:rPr>
              <w:t xml:space="preserve">the evidence base and team development as </w:t>
            </w:r>
            <w:r w:rsidR="009164B7" w:rsidRPr="00185612">
              <w:rPr>
                <w:rFonts w:cstheme="minorHAnsi"/>
              </w:rPr>
              <w:t>novel</w:t>
            </w:r>
            <w:r w:rsidR="00CA6B5D" w:rsidRPr="00185612">
              <w:rPr>
                <w:rFonts w:cstheme="minorHAnsi"/>
              </w:rPr>
              <w:t xml:space="preserve"> topics were selected</w:t>
            </w:r>
            <w:r w:rsidR="009164B7" w:rsidRPr="00185612">
              <w:rPr>
                <w:rFonts w:cstheme="minorHAnsi"/>
              </w:rPr>
              <w:t>, complementing</w:t>
            </w:r>
            <w:r w:rsidR="00CA6B5D" w:rsidRPr="00185612">
              <w:rPr>
                <w:rFonts w:cstheme="minorHAnsi"/>
              </w:rPr>
              <w:t xml:space="preserve"> </w:t>
            </w:r>
            <w:r w:rsidR="00DF513F" w:rsidRPr="00185612">
              <w:rPr>
                <w:rFonts w:cstheme="minorHAnsi"/>
              </w:rPr>
              <w:t>original</w:t>
            </w:r>
            <w:r w:rsidR="00CA6B5D" w:rsidRPr="00185612">
              <w:rPr>
                <w:rFonts w:cstheme="minorHAnsi"/>
              </w:rPr>
              <w:t xml:space="preserve"> team</w:t>
            </w:r>
            <w:r w:rsidR="00DF513F" w:rsidRPr="00185612">
              <w:rPr>
                <w:rFonts w:cstheme="minorHAnsi"/>
              </w:rPr>
              <w:t xml:space="preserve"> priorities</w:t>
            </w:r>
            <w:r w:rsidR="00CA6B5D" w:rsidRPr="00185612">
              <w:rPr>
                <w:rFonts w:cstheme="minorHAnsi"/>
              </w:rPr>
              <w:t>.</w:t>
            </w:r>
            <w:r w:rsidR="00B947EF" w:rsidRPr="00185612">
              <w:rPr>
                <w:rFonts w:cstheme="minorHAnsi"/>
              </w:rPr>
              <w:t xml:space="preserve"> </w:t>
            </w:r>
            <w:r w:rsidRPr="00185612">
              <w:rPr>
                <w:rFonts w:cstheme="minorHAnsi"/>
              </w:rPr>
              <w:t xml:space="preserve"> </w:t>
            </w:r>
          </w:p>
        </w:tc>
      </w:tr>
      <w:tr w:rsidR="00A25BE4" w:rsidRPr="00185612" w14:paraId="514B2487" w14:textId="77777777" w:rsidTr="4C726379">
        <w:tc>
          <w:tcPr>
            <w:tcW w:w="9016" w:type="dxa"/>
          </w:tcPr>
          <w:p w14:paraId="4B492CDE" w14:textId="7C0EB06B" w:rsidR="00A25BE4" w:rsidRPr="00185612" w:rsidRDefault="4C726379" w:rsidP="00020878">
            <w:pPr>
              <w:pStyle w:val="ListParagraph"/>
              <w:numPr>
                <w:ilvl w:val="0"/>
                <w:numId w:val="6"/>
              </w:numPr>
              <w:spacing w:after="0" w:line="480" w:lineRule="auto"/>
              <w:rPr>
                <w:rFonts w:cstheme="minorHAnsi"/>
              </w:rPr>
            </w:pPr>
            <w:r w:rsidRPr="00185612">
              <w:rPr>
                <w:rFonts w:cstheme="minorHAnsi"/>
              </w:rPr>
              <w:lastRenderedPageBreak/>
              <w:t xml:space="preserve">Embrace, model and expect flexibility when it will benefit team wellbeing and/or evidence, e.g. granting additional time or support.* </w:t>
            </w:r>
          </w:p>
        </w:tc>
      </w:tr>
      <w:tr w:rsidR="0040022A" w:rsidRPr="00185612" w14:paraId="091DB997" w14:textId="77777777" w:rsidTr="4C726379">
        <w:tc>
          <w:tcPr>
            <w:tcW w:w="9016" w:type="dxa"/>
          </w:tcPr>
          <w:p w14:paraId="3BCED713" w14:textId="1ACC68B9" w:rsidR="0040022A" w:rsidRPr="00185612" w:rsidRDefault="001521BF" w:rsidP="00020878">
            <w:pPr>
              <w:pStyle w:val="ListParagraph"/>
              <w:numPr>
                <w:ilvl w:val="0"/>
                <w:numId w:val="6"/>
              </w:numPr>
              <w:spacing w:after="0" w:line="480" w:lineRule="auto"/>
              <w:rPr>
                <w:rFonts w:cstheme="minorHAnsi"/>
              </w:rPr>
            </w:pPr>
            <w:r w:rsidRPr="00185612">
              <w:rPr>
                <w:rFonts w:cstheme="minorHAnsi"/>
              </w:rPr>
              <w:t>Design</w:t>
            </w:r>
            <w:r w:rsidR="00852176" w:rsidRPr="00185612">
              <w:rPr>
                <w:rFonts w:cstheme="minorHAnsi"/>
              </w:rPr>
              <w:t xml:space="preserve"> </w:t>
            </w:r>
            <w:r w:rsidR="003C2430" w:rsidRPr="00185612">
              <w:rPr>
                <w:rFonts w:cstheme="minorHAnsi"/>
              </w:rPr>
              <w:t xml:space="preserve">mechanisms for </w:t>
            </w:r>
            <w:r w:rsidR="0062397C" w:rsidRPr="00185612">
              <w:rPr>
                <w:rFonts w:cstheme="minorHAnsi"/>
              </w:rPr>
              <w:t>preventing and managing</w:t>
            </w:r>
            <w:r w:rsidR="003C2430" w:rsidRPr="00185612">
              <w:rPr>
                <w:rFonts w:cstheme="minorHAnsi"/>
              </w:rPr>
              <w:t xml:space="preserve"> adverse events; e.g. </w:t>
            </w:r>
            <w:r w:rsidR="00852176" w:rsidRPr="00185612">
              <w:rPr>
                <w:rFonts w:cstheme="minorHAnsi"/>
              </w:rPr>
              <w:t xml:space="preserve">a </w:t>
            </w:r>
            <w:r w:rsidR="00B21B14" w:rsidRPr="00185612">
              <w:rPr>
                <w:rFonts w:cstheme="minorHAnsi"/>
              </w:rPr>
              <w:t>project-</w:t>
            </w:r>
            <w:r w:rsidR="00FB59D6" w:rsidRPr="00185612">
              <w:rPr>
                <w:rFonts w:cstheme="minorHAnsi"/>
              </w:rPr>
              <w:t>appropriate</w:t>
            </w:r>
            <w:r w:rsidR="00852176" w:rsidRPr="00185612">
              <w:rPr>
                <w:rFonts w:cstheme="minorHAnsi"/>
              </w:rPr>
              <w:t xml:space="preserve"> incident </w:t>
            </w:r>
            <w:r w:rsidR="00A84DF0" w:rsidRPr="00185612">
              <w:rPr>
                <w:rFonts w:cstheme="minorHAnsi"/>
              </w:rPr>
              <w:t>management</w:t>
            </w:r>
            <w:r w:rsidR="00852176" w:rsidRPr="00185612">
              <w:rPr>
                <w:rFonts w:cstheme="minorHAnsi"/>
              </w:rPr>
              <w:t xml:space="preserve"> system</w:t>
            </w:r>
            <w:r w:rsidR="00A84DF0" w:rsidRPr="00185612">
              <w:rPr>
                <w:rFonts w:cstheme="minorHAnsi"/>
              </w:rPr>
              <w:t xml:space="preserve"> </w:t>
            </w:r>
            <w:r w:rsidR="00687A6D" w:rsidRPr="00185612">
              <w:rPr>
                <w:rFonts w:cstheme="minorHAnsi"/>
              </w:rPr>
              <w:t xml:space="preserve">for </w:t>
            </w:r>
            <w:r w:rsidR="000E424B" w:rsidRPr="00185612">
              <w:rPr>
                <w:rFonts w:cstheme="minorHAnsi"/>
              </w:rPr>
              <w:t xml:space="preserve">diverse </w:t>
            </w:r>
            <w:r w:rsidR="00687A6D" w:rsidRPr="00185612">
              <w:rPr>
                <w:rFonts w:cstheme="minorHAnsi"/>
              </w:rPr>
              <w:t>fieldwork</w:t>
            </w:r>
            <w:r w:rsidR="00A84DF0" w:rsidRPr="00185612">
              <w:rPr>
                <w:rFonts w:cstheme="minorHAnsi"/>
              </w:rPr>
              <w:t xml:space="preserve"> </w:t>
            </w:r>
            <w:r w:rsidR="000E424B" w:rsidRPr="00185612">
              <w:rPr>
                <w:rFonts w:cstheme="minorHAnsi"/>
              </w:rPr>
              <w:t>challenges (</w:t>
            </w:r>
            <w:r w:rsidR="00FB59D6" w:rsidRPr="00185612">
              <w:rPr>
                <w:rFonts w:cstheme="minorHAnsi"/>
              </w:rPr>
              <w:t xml:space="preserve">e.g. </w:t>
            </w:r>
            <w:r w:rsidR="000E424B" w:rsidRPr="00185612">
              <w:rPr>
                <w:rFonts w:cstheme="minorHAnsi"/>
              </w:rPr>
              <w:t>vehicle breakdowns, project material loss/theft, participant distress)</w:t>
            </w:r>
            <w:r w:rsidR="007420BD" w:rsidRPr="00185612">
              <w:rPr>
                <w:rFonts w:cstheme="minorHAnsi"/>
              </w:rPr>
              <w:t xml:space="preserve">. These mechanisms may never be </w:t>
            </w:r>
            <w:r w:rsidR="00FB59D6" w:rsidRPr="00185612">
              <w:rPr>
                <w:rFonts w:cstheme="minorHAnsi"/>
              </w:rPr>
              <w:t>activated but</w:t>
            </w:r>
            <w:r w:rsidR="006B2836" w:rsidRPr="00185612">
              <w:rPr>
                <w:rFonts w:cstheme="minorHAnsi"/>
              </w:rPr>
              <w:t xml:space="preserve"> creating them in the moment risks </w:t>
            </w:r>
            <w:r w:rsidR="00FB59D6" w:rsidRPr="00185612">
              <w:rPr>
                <w:rFonts w:cstheme="minorHAnsi"/>
              </w:rPr>
              <w:t>mishandling responses.</w:t>
            </w:r>
          </w:p>
        </w:tc>
      </w:tr>
      <w:tr w:rsidR="00A25BE4" w:rsidRPr="00185612" w14:paraId="044F6337" w14:textId="77777777" w:rsidTr="4C726379">
        <w:tc>
          <w:tcPr>
            <w:tcW w:w="9016" w:type="dxa"/>
          </w:tcPr>
          <w:p w14:paraId="09790F5F" w14:textId="7CAF3339" w:rsidR="00A25BE4" w:rsidRPr="00185612" w:rsidRDefault="001F1B00" w:rsidP="00020878">
            <w:pPr>
              <w:pStyle w:val="ListParagraph"/>
              <w:numPr>
                <w:ilvl w:val="0"/>
                <w:numId w:val="6"/>
              </w:numPr>
              <w:spacing w:after="0" w:line="480" w:lineRule="auto"/>
              <w:rPr>
                <w:rFonts w:cstheme="minorHAnsi"/>
              </w:rPr>
            </w:pPr>
            <w:r w:rsidRPr="00185612">
              <w:rPr>
                <w:rFonts w:cstheme="minorHAnsi"/>
              </w:rPr>
              <w:t>Plan sufficient time and space for CBRs to discuss, identify and/or lead dissemination activities. If desired and safe, this may involve taking active steps to visibilise CBRs within their preferred circles, positioning them as knowledgeable change agents for future efforts within their communities</w:t>
            </w:r>
            <w:r w:rsidR="00737877">
              <w:rPr>
                <w:rFonts w:cstheme="minorHAnsi"/>
              </w:rPr>
              <w:t xml:space="preserve"> [2]</w:t>
            </w:r>
            <w:r w:rsidRPr="00185612">
              <w:rPr>
                <w:rFonts w:cstheme="minorHAnsi"/>
              </w:rPr>
              <w:t xml:space="preserve">.  </w:t>
            </w:r>
          </w:p>
        </w:tc>
      </w:tr>
      <w:tr w:rsidR="00A25BE4" w:rsidRPr="00185612" w14:paraId="6D7BC326" w14:textId="77777777" w:rsidTr="4C726379">
        <w:tc>
          <w:tcPr>
            <w:tcW w:w="9016" w:type="dxa"/>
            <w:shd w:val="clear" w:color="auto" w:fill="D9D9D9" w:themeFill="background1" w:themeFillShade="D9"/>
          </w:tcPr>
          <w:p w14:paraId="6AD44C30" w14:textId="59FC4A62" w:rsidR="00A25BE4" w:rsidRPr="00185612" w:rsidRDefault="001F1B00" w:rsidP="00637CA5">
            <w:pPr>
              <w:spacing w:line="480" w:lineRule="auto"/>
              <w:jc w:val="both"/>
              <w:rPr>
                <w:rFonts w:cstheme="minorHAnsi"/>
                <w:b/>
                <w:bCs/>
              </w:rPr>
            </w:pPr>
            <w:r w:rsidRPr="00185612">
              <w:rPr>
                <w:rFonts w:cstheme="minorHAnsi"/>
                <w:b/>
                <w:bCs/>
                <w:i/>
                <w:iCs/>
              </w:rPr>
              <w:t>Foundational Training(s)</w:t>
            </w:r>
            <w:r w:rsidR="00BD2A60">
              <w:rPr>
                <w:rFonts w:cstheme="minorHAnsi"/>
                <w:b/>
                <w:bCs/>
                <w:i/>
                <w:iCs/>
              </w:rPr>
              <w:t xml:space="preserve"> </w:t>
            </w:r>
            <w:r w:rsidR="00BD2A60" w:rsidRPr="001B486A">
              <w:rPr>
                <w:rFonts w:cstheme="minorHAnsi"/>
                <w:b/>
                <w:bCs/>
              </w:rPr>
              <w:t>(T1-T7)</w:t>
            </w:r>
          </w:p>
        </w:tc>
      </w:tr>
      <w:tr w:rsidR="00A25BE4" w:rsidRPr="00185612" w14:paraId="00F9CD2E" w14:textId="77777777" w:rsidTr="4C726379">
        <w:tc>
          <w:tcPr>
            <w:tcW w:w="9016" w:type="dxa"/>
          </w:tcPr>
          <w:p w14:paraId="05B80DE5" w14:textId="2FC4595A" w:rsidR="00A25BE4" w:rsidRPr="00185612" w:rsidRDefault="73BF165C" w:rsidP="00020878">
            <w:pPr>
              <w:pStyle w:val="ListParagraph"/>
              <w:numPr>
                <w:ilvl w:val="0"/>
                <w:numId w:val="7"/>
              </w:numPr>
              <w:spacing w:after="0" w:line="480" w:lineRule="auto"/>
              <w:rPr>
                <w:rFonts w:cstheme="minorHAnsi"/>
              </w:rPr>
            </w:pPr>
            <w:r w:rsidRPr="00185612">
              <w:rPr>
                <w:rFonts w:cstheme="minorHAnsi"/>
              </w:rPr>
              <w:t>To support CBR’s emotional safety, particularly in violence, mental health and otherwise sensitive research</w:t>
            </w:r>
            <w:r w:rsidR="00737877">
              <w:rPr>
                <w:rFonts w:cstheme="minorHAnsi"/>
              </w:rPr>
              <w:t xml:space="preserve"> [7]</w:t>
            </w:r>
            <w:r w:rsidRPr="00185612">
              <w:rPr>
                <w:rFonts w:cstheme="minorHAnsi"/>
              </w:rPr>
              <w:t>, introduce evidence-informed strategies for managing discomfort, practicing reflexivity</w:t>
            </w:r>
            <w:r w:rsidR="007420BD" w:rsidRPr="00185612">
              <w:rPr>
                <w:rFonts w:cstheme="minorHAnsi"/>
              </w:rPr>
              <w:t xml:space="preserve"> (e.g. research journals, debriefs)</w:t>
            </w:r>
            <w:r w:rsidRPr="00185612">
              <w:rPr>
                <w:rFonts w:cstheme="minorHAnsi"/>
              </w:rPr>
              <w:t xml:space="preserve">, and preparing for personal beliefs and/or assumptions to be challenged or even changed.* </w:t>
            </w:r>
          </w:p>
        </w:tc>
      </w:tr>
      <w:tr w:rsidR="00A25BE4" w:rsidRPr="00185612" w14:paraId="79E16D69" w14:textId="77777777" w:rsidTr="4C726379">
        <w:tc>
          <w:tcPr>
            <w:tcW w:w="9016" w:type="dxa"/>
          </w:tcPr>
          <w:p w14:paraId="7F765680" w14:textId="31DA2042" w:rsidR="00A25BE4" w:rsidRPr="00185612" w:rsidRDefault="001F1B00" w:rsidP="00020878">
            <w:pPr>
              <w:pStyle w:val="ListParagraph"/>
              <w:numPr>
                <w:ilvl w:val="0"/>
                <w:numId w:val="7"/>
              </w:numPr>
              <w:spacing w:after="0" w:line="480" w:lineRule="auto"/>
              <w:rPr>
                <w:rFonts w:cstheme="minorHAnsi"/>
              </w:rPr>
            </w:pPr>
            <w:r w:rsidRPr="00185612">
              <w:rPr>
                <w:rFonts w:cstheme="minorHAnsi"/>
              </w:rPr>
              <w:t xml:space="preserve">Create interactive, multi-method opportunities to practice navigating diverse interpersonal dynamics, e.g. role play and mock data collection scenarios, particularly those anticipating potential challenges of managing bystanders, interruptions, distress, and de-escalation.* </w:t>
            </w:r>
            <w:r w:rsidR="00DD0F79" w:rsidRPr="00185612">
              <w:rPr>
                <w:rFonts w:cstheme="minorHAnsi"/>
              </w:rPr>
              <w:t>Booster practice may be needed.</w:t>
            </w:r>
          </w:p>
        </w:tc>
      </w:tr>
      <w:tr w:rsidR="00A25BE4" w:rsidRPr="00185612" w14:paraId="619E73BF" w14:textId="77777777" w:rsidTr="4C726379">
        <w:tc>
          <w:tcPr>
            <w:tcW w:w="9016" w:type="dxa"/>
          </w:tcPr>
          <w:p w14:paraId="2B01080C" w14:textId="54E1B9ED" w:rsidR="00A25BE4" w:rsidRPr="00185612" w:rsidRDefault="001F1B00" w:rsidP="00020878">
            <w:pPr>
              <w:pStyle w:val="ListParagraph"/>
              <w:numPr>
                <w:ilvl w:val="0"/>
                <w:numId w:val="7"/>
              </w:numPr>
              <w:spacing w:after="0" w:line="480" w:lineRule="auto"/>
              <w:rPr>
                <w:rFonts w:cstheme="minorHAnsi"/>
              </w:rPr>
            </w:pPr>
            <w:r w:rsidRPr="00185612">
              <w:rPr>
                <w:rFonts w:cstheme="minorHAnsi"/>
              </w:rPr>
              <w:t>Develop multiple opportunities in training to practice and receive feedback on data collection skills, such as active listening, rewording, simplifying and assessing question suitability, and when/how best to probe in interview-based studies. This is critical in sensitive research as data collection moments may be re- or vicariously-traumatising to participants or CBRs respectively</w:t>
            </w:r>
            <w:r w:rsidR="00737877">
              <w:rPr>
                <w:rFonts w:cstheme="minorHAnsi"/>
              </w:rPr>
              <w:t xml:space="preserve"> [7]</w:t>
            </w:r>
            <w:r w:rsidRPr="00185612">
              <w:rPr>
                <w:rFonts w:cstheme="minorHAnsi"/>
              </w:rPr>
              <w:t>.</w:t>
            </w:r>
          </w:p>
        </w:tc>
      </w:tr>
      <w:tr w:rsidR="00A25BE4" w:rsidRPr="00185612" w14:paraId="292C4305" w14:textId="77777777" w:rsidTr="4C726379">
        <w:tc>
          <w:tcPr>
            <w:tcW w:w="9016" w:type="dxa"/>
          </w:tcPr>
          <w:p w14:paraId="1242D684" w14:textId="397F0034" w:rsidR="00A25BE4" w:rsidRPr="00185612" w:rsidRDefault="001F1B00" w:rsidP="00020878">
            <w:pPr>
              <w:pStyle w:val="ListParagraph"/>
              <w:numPr>
                <w:ilvl w:val="0"/>
                <w:numId w:val="7"/>
              </w:numPr>
              <w:spacing w:after="0" w:line="480" w:lineRule="auto"/>
              <w:rPr>
                <w:rFonts w:cstheme="minorHAnsi"/>
              </w:rPr>
            </w:pPr>
            <w:r w:rsidRPr="00185612">
              <w:rPr>
                <w:rFonts w:cstheme="minorHAnsi"/>
              </w:rPr>
              <w:lastRenderedPageBreak/>
              <w:t xml:space="preserve">Thoroughly discuss and consider co-developing ‘further support’ materials </w:t>
            </w:r>
            <w:r w:rsidRPr="00185612">
              <w:rPr>
                <w:rFonts w:cstheme="minorHAnsi"/>
                <w:i/>
                <w:iCs/>
              </w:rPr>
              <w:t>with</w:t>
            </w:r>
            <w:r w:rsidRPr="00185612">
              <w:rPr>
                <w:rFonts w:cstheme="minorHAnsi"/>
              </w:rPr>
              <w:t xml:space="preserve"> CBRs to build their confidence should study participants require their assistance to access e.g. violence and/or mental health support services. Furnishing CBRs with pre-made materials without in-depth discussion may leave CBRs anxious and/or under-prepared to respond in situ.</w:t>
            </w:r>
            <w:r w:rsidR="00444E17" w:rsidRPr="00185612">
              <w:rPr>
                <w:rFonts w:cstheme="minorHAnsi"/>
              </w:rPr>
              <w:t xml:space="preserve"> These materials are also</w:t>
            </w:r>
            <w:r w:rsidR="00B82C35" w:rsidRPr="00185612">
              <w:rPr>
                <w:rFonts w:cstheme="minorHAnsi"/>
              </w:rPr>
              <w:t xml:space="preserve"> applicable to CBRs themselves as part of self-care.</w:t>
            </w:r>
          </w:p>
        </w:tc>
      </w:tr>
      <w:tr w:rsidR="00A25BE4" w:rsidRPr="00185612" w14:paraId="54BA64B4" w14:textId="77777777" w:rsidTr="4C726379">
        <w:tc>
          <w:tcPr>
            <w:tcW w:w="9016" w:type="dxa"/>
          </w:tcPr>
          <w:p w14:paraId="723ACC3E" w14:textId="27413F6C" w:rsidR="00A25BE4" w:rsidRPr="00185612" w:rsidRDefault="73BF165C" w:rsidP="00020878">
            <w:pPr>
              <w:pStyle w:val="ListParagraph"/>
              <w:numPr>
                <w:ilvl w:val="0"/>
                <w:numId w:val="7"/>
              </w:numPr>
              <w:spacing w:after="0" w:line="480" w:lineRule="auto"/>
              <w:rPr>
                <w:rFonts w:cstheme="minorHAnsi"/>
              </w:rPr>
            </w:pPr>
            <w:r w:rsidRPr="00185612">
              <w:rPr>
                <w:rFonts w:cstheme="minorHAnsi"/>
              </w:rPr>
              <w:t>Reenforce messages that while flexibility is necessary in projects, CBRs should not (be expected to) compromise their own safety and wellbeing to accommodate participants or other project needs</w:t>
            </w:r>
            <w:r w:rsidR="00737877">
              <w:rPr>
                <w:rFonts w:cstheme="minorHAnsi"/>
              </w:rPr>
              <w:t xml:space="preserve"> [7]</w:t>
            </w:r>
            <w:r w:rsidRPr="00185612">
              <w:rPr>
                <w:rFonts w:cstheme="minorHAnsi"/>
              </w:rPr>
              <w:t xml:space="preserve">.* </w:t>
            </w:r>
          </w:p>
        </w:tc>
      </w:tr>
      <w:tr w:rsidR="001F1B00" w:rsidRPr="00185612" w14:paraId="7A90E42D" w14:textId="77777777" w:rsidTr="4C726379">
        <w:tc>
          <w:tcPr>
            <w:tcW w:w="9016" w:type="dxa"/>
          </w:tcPr>
          <w:p w14:paraId="6FC52E5F" w14:textId="151A5CF5" w:rsidR="001F1B00" w:rsidRPr="00185612" w:rsidRDefault="001F1B00" w:rsidP="00020878">
            <w:pPr>
              <w:pStyle w:val="ListParagraph"/>
              <w:numPr>
                <w:ilvl w:val="0"/>
                <w:numId w:val="7"/>
              </w:numPr>
              <w:spacing w:after="0" w:line="480" w:lineRule="auto"/>
              <w:rPr>
                <w:rFonts w:cstheme="minorHAnsi"/>
              </w:rPr>
            </w:pPr>
            <w:r w:rsidRPr="00185612">
              <w:rPr>
                <w:rFonts w:cstheme="minorHAnsi"/>
              </w:rPr>
              <w:t>Dedicate time for practical and generalised professional skills including documentation practices for the project (e.g. note taking)</w:t>
            </w:r>
            <w:r w:rsidR="00F62AE1" w:rsidRPr="00185612">
              <w:rPr>
                <w:rFonts w:cstheme="minorHAnsi"/>
              </w:rPr>
              <w:t>;</w:t>
            </w:r>
            <w:r w:rsidRPr="00185612">
              <w:rPr>
                <w:rFonts w:cstheme="minorHAnsi"/>
              </w:rPr>
              <w:t xml:space="preserve"> </w:t>
            </w:r>
            <w:r w:rsidR="00F62AE1" w:rsidRPr="00185612">
              <w:rPr>
                <w:rFonts w:cstheme="minorHAnsi"/>
              </w:rPr>
              <w:t xml:space="preserve">digital </w:t>
            </w:r>
            <w:r w:rsidR="00626F67" w:rsidRPr="00185612">
              <w:rPr>
                <w:rFonts w:cstheme="minorHAnsi"/>
              </w:rPr>
              <w:t>resource</w:t>
            </w:r>
            <w:r w:rsidR="00F62AE1" w:rsidRPr="00185612">
              <w:rPr>
                <w:rFonts w:cstheme="minorHAnsi"/>
              </w:rPr>
              <w:t xml:space="preserve">, </w:t>
            </w:r>
            <w:r w:rsidRPr="00185612">
              <w:rPr>
                <w:rFonts w:cstheme="minorHAnsi"/>
              </w:rPr>
              <w:t>time and expectation management.</w:t>
            </w:r>
          </w:p>
        </w:tc>
      </w:tr>
      <w:tr w:rsidR="001F1B00" w:rsidRPr="00185612" w14:paraId="07EA739A" w14:textId="77777777" w:rsidTr="4C726379">
        <w:tc>
          <w:tcPr>
            <w:tcW w:w="9016" w:type="dxa"/>
          </w:tcPr>
          <w:p w14:paraId="2D03DAB7" w14:textId="149E993A" w:rsidR="001F1B00" w:rsidRPr="00185612" w:rsidRDefault="4C726379" w:rsidP="00020878">
            <w:pPr>
              <w:pStyle w:val="ListParagraph"/>
              <w:numPr>
                <w:ilvl w:val="0"/>
                <w:numId w:val="7"/>
              </w:numPr>
              <w:spacing w:after="0" w:line="480" w:lineRule="auto"/>
              <w:rPr>
                <w:rFonts w:cstheme="minorHAnsi"/>
              </w:rPr>
            </w:pPr>
            <w:r w:rsidRPr="00185612">
              <w:rPr>
                <w:rFonts w:cstheme="minorHAnsi"/>
              </w:rPr>
              <w:t>Foster confidence in using all technologies and tools in the project</w:t>
            </w:r>
            <w:r w:rsidR="00D62AC7" w:rsidRPr="00185612">
              <w:rPr>
                <w:rFonts w:cstheme="minorHAnsi"/>
              </w:rPr>
              <w:t>, including for data management</w:t>
            </w:r>
            <w:r w:rsidRPr="00185612">
              <w:rPr>
                <w:rFonts w:cstheme="minorHAnsi"/>
              </w:rPr>
              <w:t>. Do not presume all parties possess the requisite items/devices nor are competent and comfortable (independently) applying them – practice how they should be used within the project itself*. Trial technology trouble-shooting strategies to support confidence in data collection</w:t>
            </w:r>
            <w:r w:rsidR="002920B6" w:rsidRPr="00185612">
              <w:rPr>
                <w:rFonts w:cstheme="minorHAnsi"/>
              </w:rPr>
              <w:t>*</w:t>
            </w:r>
            <w:r w:rsidRPr="00185612">
              <w:rPr>
                <w:rFonts w:cstheme="minorHAnsi"/>
              </w:rPr>
              <w:t>.</w:t>
            </w:r>
            <w:r w:rsidR="00F333DD" w:rsidRPr="00185612">
              <w:rPr>
                <w:rFonts w:cstheme="minorHAnsi"/>
              </w:rPr>
              <w:t xml:space="preserve"> Our CBRs </w:t>
            </w:r>
            <w:r w:rsidR="00A072CC" w:rsidRPr="00185612">
              <w:rPr>
                <w:rFonts w:cstheme="minorHAnsi"/>
              </w:rPr>
              <w:t>selected</w:t>
            </w:r>
            <w:r w:rsidR="00BA799D" w:rsidRPr="00185612">
              <w:rPr>
                <w:rFonts w:cstheme="minorHAnsi"/>
              </w:rPr>
              <w:t xml:space="preserve"> to</w:t>
            </w:r>
            <w:r w:rsidR="00D21F81" w:rsidRPr="00185612">
              <w:rPr>
                <w:rFonts w:cstheme="minorHAnsi"/>
              </w:rPr>
              <w:t xml:space="preserve"> </w:t>
            </w:r>
            <w:r w:rsidR="00BA799D" w:rsidRPr="00185612">
              <w:rPr>
                <w:rFonts w:cstheme="minorHAnsi"/>
              </w:rPr>
              <w:t>record fieldnotes</w:t>
            </w:r>
            <w:r w:rsidR="00A072CC" w:rsidRPr="00185612">
              <w:rPr>
                <w:rFonts w:cstheme="minorHAnsi"/>
              </w:rPr>
              <w:t xml:space="preserve"> in whichever form they felt most confident to produce high quality data, accommodating different technological </w:t>
            </w:r>
            <w:r w:rsidR="00D62AC7" w:rsidRPr="00185612">
              <w:rPr>
                <w:rFonts w:cstheme="minorHAnsi"/>
              </w:rPr>
              <w:t>fluencies</w:t>
            </w:r>
            <w:r w:rsidR="00A072CC" w:rsidRPr="00185612">
              <w:rPr>
                <w:rFonts w:cstheme="minorHAnsi"/>
              </w:rPr>
              <w:t xml:space="preserve"> (digital or handwritten</w:t>
            </w:r>
            <w:r w:rsidR="00D62AC7" w:rsidRPr="00185612">
              <w:rPr>
                <w:rFonts w:cstheme="minorHAnsi"/>
              </w:rPr>
              <w:t xml:space="preserve"> forms</w:t>
            </w:r>
            <w:r w:rsidR="00A072CC" w:rsidRPr="00185612">
              <w:rPr>
                <w:rFonts w:cstheme="minorHAnsi"/>
              </w:rPr>
              <w:t>).</w:t>
            </w:r>
          </w:p>
        </w:tc>
      </w:tr>
      <w:tr w:rsidR="001F1B00" w:rsidRPr="00185612" w14:paraId="5F8FE86D" w14:textId="77777777" w:rsidTr="4C726379">
        <w:tc>
          <w:tcPr>
            <w:tcW w:w="9016" w:type="dxa"/>
            <w:shd w:val="clear" w:color="auto" w:fill="D9D9D9" w:themeFill="background1" w:themeFillShade="D9"/>
          </w:tcPr>
          <w:p w14:paraId="639B8025" w14:textId="78087D5D" w:rsidR="001F1B00" w:rsidRPr="00185612" w:rsidRDefault="001F1B00" w:rsidP="00637CA5">
            <w:pPr>
              <w:spacing w:line="480" w:lineRule="auto"/>
              <w:jc w:val="both"/>
              <w:rPr>
                <w:rFonts w:cstheme="minorHAnsi"/>
                <w:b/>
                <w:bCs/>
              </w:rPr>
            </w:pPr>
            <w:r w:rsidRPr="00185612">
              <w:rPr>
                <w:rFonts w:cstheme="minorHAnsi"/>
                <w:b/>
                <w:bCs/>
                <w:i/>
                <w:iCs/>
              </w:rPr>
              <w:t>Human and Consumable Resources</w:t>
            </w:r>
            <w:r w:rsidR="00A11A4D">
              <w:rPr>
                <w:rFonts w:cstheme="minorHAnsi"/>
                <w:b/>
                <w:bCs/>
                <w:i/>
                <w:iCs/>
              </w:rPr>
              <w:t xml:space="preserve"> </w:t>
            </w:r>
            <w:r w:rsidR="00A11A4D" w:rsidRPr="001B486A">
              <w:rPr>
                <w:rFonts w:cstheme="minorHAnsi"/>
                <w:b/>
                <w:bCs/>
              </w:rPr>
              <w:t>(R</w:t>
            </w:r>
            <w:r w:rsidR="009110E8" w:rsidRPr="001B486A">
              <w:rPr>
                <w:rFonts w:cstheme="minorHAnsi"/>
                <w:b/>
                <w:bCs/>
              </w:rPr>
              <w:t>1-R9)</w:t>
            </w:r>
          </w:p>
        </w:tc>
      </w:tr>
      <w:tr w:rsidR="001F1B00" w:rsidRPr="00185612" w14:paraId="03FA1E87" w14:textId="77777777" w:rsidTr="4C726379">
        <w:tc>
          <w:tcPr>
            <w:tcW w:w="9016" w:type="dxa"/>
          </w:tcPr>
          <w:p w14:paraId="2A5B19D1" w14:textId="01D7611F" w:rsidR="001F1B00" w:rsidRPr="00185612" w:rsidRDefault="001F1B00" w:rsidP="00020878">
            <w:pPr>
              <w:pStyle w:val="ListParagraph"/>
              <w:numPr>
                <w:ilvl w:val="0"/>
                <w:numId w:val="8"/>
              </w:numPr>
              <w:spacing w:after="0" w:line="480" w:lineRule="auto"/>
              <w:rPr>
                <w:rFonts w:cstheme="minorHAnsi"/>
              </w:rPr>
            </w:pPr>
            <w:r w:rsidRPr="00185612">
              <w:rPr>
                <w:rFonts w:cstheme="minorHAnsi"/>
              </w:rPr>
              <w:t xml:space="preserve">Dedicate strategic time and effort to identify, recruit and retain suitable CBRs; more time on ‘smart’ hiring may reduce problematic team dynamics and/or lower team attrition later – benefitting team and evidence quality. </w:t>
            </w:r>
            <w:r w:rsidR="00CC1E24" w:rsidRPr="00185612">
              <w:rPr>
                <w:rFonts w:cstheme="minorHAnsi"/>
              </w:rPr>
              <w:t>Consider using trainings as</w:t>
            </w:r>
            <w:r w:rsidR="00862B19" w:rsidRPr="00185612">
              <w:rPr>
                <w:rFonts w:cstheme="minorHAnsi"/>
              </w:rPr>
              <w:t xml:space="preserve"> a </w:t>
            </w:r>
            <w:r w:rsidR="00CC1E24" w:rsidRPr="00185612">
              <w:rPr>
                <w:rFonts w:cstheme="minorHAnsi"/>
              </w:rPr>
              <w:t>two-way</w:t>
            </w:r>
            <w:r w:rsidR="00862B19" w:rsidRPr="00185612">
              <w:rPr>
                <w:rFonts w:cstheme="minorHAnsi"/>
              </w:rPr>
              <w:t xml:space="preserve"> job interview for both </w:t>
            </w:r>
            <w:r w:rsidR="00CC1E24" w:rsidRPr="00185612">
              <w:rPr>
                <w:rFonts w:cstheme="minorHAnsi"/>
              </w:rPr>
              <w:t>CBRs and core team members to assess fit</w:t>
            </w:r>
            <w:r w:rsidR="00392ACB" w:rsidRPr="00185612">
              <w:rPr>
                <w:rFonts w:cstheme="minorHAnsi"/>
              </w:rPr>
              <w:t xml:space="preserve"> and introduce a mutual trial period</w:t>
            </w:r>
            <w:r w:rsidR="00E06C32" w:rsidRPr="00185612">
              <w:rPr>
                <w:rFonts w:cstheme="minorHAnsi"/>
              </w:rPr>
              <w:t xml:space="preserve"> when possible</w:t>
            </w:r>
            <w:r w:rsidR="00477CA5" w:rsidRPr="00185612">
              <w:rPr>
                <w:rFonts w:cstheme="minorHAnsi"/>
              </w:rPr>
              <w:t xml:space="preserve">. </w:t>
            </w:r>
            <w:r w:rsidR="00231696">
              <w:rPr>
                <w:rFonts w:cstheme="minorHAnsi"/>
              </w:rPr>
              <w:t xml:space="preserve">Make efforts, where possible, to </w:t>
            </w:r>
            <w:r w:rsidR="005502E0">
              <w:rPr>
                <w:rFonts w:cstheme="minorHAnsi"/>
              </w:rPr>
              <w:t>recruit</w:t>
            </w:r>
            <w:r w:rsidR="00231696">
              <w:rPr>
                <w:rFonts w:cstheme="minorHAnsi"/>
              </w:rPr>
              <w:t xml:space="preserve"> those motivated </w:t>
            </w:r>
            <w:r w:rsidR="004658CD">
              <w:rPr>
                <w:rFonts w:cstheme="minorHAnsi"/>
              </w:rPr>
              <w:t xml:space="preserve">by </w:t>
            </w:r>
            <w:r w:rsidR="007E5857">
              <w:rPr>
                <w:rFonts w:cstheme="minorHAnsi"/>
              </w:rPr>
              <w:t xml:space="preserve">research relevance to </w:t>
            </w:r>
            <w:r w:rsidR="007E5857">
              <w:rPr>
                <w:rFonts w:cstheme="minorHAnsi"/>
              </w:rPr>
              <w:lastRenderedPageBreak/>
              <w:t>their personal and communities’ lives</w:t>
            </w:r>
            <w:r w:rsidR="00937707">
              <w:rPr>
                <w:rFonts w:cstheme="minorHAnsi"/>
              </w:rPr>
              <w:t>, which may</w:t>
            </w:r>
            <w:r w:rsidR="007E5857">
              <w:rPr>
                <w:rFonts w:cstheme="minorHAnsi"/>
              </w:rPr>
              <w:t xml:space="preserve"> support </w:t>
            </w:r>
            <w:r w:rsidR="005502E0">
              <w:rPr>
                <w:rFonts w:cstheme="minorHAnsi"/>
              </w:rPr>
              <w:t>inclusion of those most affected</w:t>
            </w:r>
            <w:r w:rsidR="00937707">
              <w:rPr>
                <w:rFonts w:cstheme="minorHAnsi"/>
              </w:rPr>
              <w:t xml:space="preserve"> and most likely to benefit from research </w:t>
            </w:r>
            <w:r w:rsidR="00937707" w:rsidRPr="00303B96">
              <w:rPr>
                <w:rFonts w:cstheme="minorHAnsi"/>
              </w:rPr>
              <w:t>efforts</w:t>
            </w:r>
            <w:r w:rsidR="00737877" w:rsidRPr="00303B96">
              <w:rPr>
                <w:rFonts w:cstheme="minorHAnsi"/>
              </w:rPr>
              <w:t xml:space="preserve"> [</w:t>
            </w:r>
            <w:r w:rsidR="000F6593">
              <w:rPr>
                <w:rFonts w:cstheme="minorHAnsi"/>
              </w:rPr>
              <w:t>50</w:t>
            </w:r>
            <w:r w:rsidR="00737877" w:rsidRPr="00303B96">
              <w:rPr>
                <w:rFonts w:cstheme="minorHAnsi"/>
              </w:rPr>
              <w:t>]</w:t>
            </w:r>
            <w:r w:rsidR="005502E0" w:rsidRPr="00303B96">
              <w:rPr>
                <w:rFonts w:cstheme="minorHAnsi"/>
              </w:rPr>
              <w:t>.</w:t>
            </w:r>
            <w:r w:rsidR="007E5857">
              <w:rPr>
                <w:rFonts w:cstheme="minorHAnsi"/>
              </w:rPr>
              <w:t xml:space="preserve"> </w:t>
            </w:r>
          </w:p>
        </w:tc>
      </w:tr>
      <w:tr w:rsidR="001F1B00" w:rsidRPr="00185612" w14:paraId="1AFA72C4" w14:textId="77777777" w:rsidTr="4C726379">
        <w:tc>
          <w:tcPr>
            <w:tcW w:w="9016" w:type="dxa"/>
          </w:tcPr>
          <w:p w14:paraId="01AB12BC" w14:textId="2B19F1B5" w:rsidR="001F1B00" w:rsidRPr="00185612" w:rsidRDefault="001F1B00" w:rsidP="00020878">
            <w:pPr>
              <w:pStyle w:val="ListParagraph"/>
              <w:numPr>
                <w:ilvl w:val="0"/>
                <w:numId w:val="8"/>
              </w:numPr>
              <w:spacing w:after="0" w:line="480" w:lineRule="auto"/>
              <w:rPr>
                <w:rFonts w:cstheme="minorHAnsi"/>
              </w:rPr>
            </w:pPr>
            <w:r w:rsidRPr="00185612">
              <w:rPr>
                <w:rFonts w:cstheme="minorHAnsi"/>
              </w:rPr>
              <w:lastRenderedPageBreak/>
              <w:t xml:space="preserve">Consider exercises to identify strong team leaders amongst CBRs early in the project who may support motivating and learning efforts amongst CBRs differently to the core team. </w:t>
            </w:r>
            <w:r w:rsidR="003917E7" w:rsidRPr="00185612">
              <w:rPr>
                <w:rFonts w:cstheme="minorHAnsi"/>
              </w:rPr>
              <w:t>Rigorous, dynamic</w:t>
            </w:r>
            <w:r w:rsidR="009C55FE" w:rsidRPr="00185612">
              <w:rPr>
                <w:rFonts w:cstheme="minorHAnsi"/>
              </w:rPr>
              <w:t xml:space="preserve"> training </w:t>
            </w:r>
            <w:r w:rsidR="003917E7" w:rsidRPr="00185612">
              <w:rPr>
                <w:rFonts w:cstheme="minorHAnsi"/>
              </w:rPr>
              <w:t xml:space="preserve">may </w:t>
            </w:r>
            <w:r w:rsidR="0016103F" w:rsidRPr="00185612">
              <w:rPr>
                <w:rFonts w:cstheme="minorHAnsi"/>
              </w:rPr>
              <w:t>provide</w:t>
            </w:r>
            <w:r w:rsidR="009C55FE" w:rsidRPr="00185612">
              <w:rPr>
                <w:rFonts w:cstheme="minorHAnsi"/>
              </w:rPr>
              <w:t xml:space="preserve"> </w:t>
            </w:r>
            <w:r w:rsidR="0016103F" w:rsidRPr="00185612">
              <w:rPr>
                <w:rFonts w:cstheme="minorHAnsi"/>
              </w:rPr>
              <w:t xml:space="preserve">multiple scenarios to identify leadership capacities in </w:t>
            </w:r>
            <w:r w:rsidR="009C55FE" w:rsidRPr="00185612">
              <w:rPr>
                <w:rFonts w:cstheme="minorHAnsi"/>
              </w:rPr>
              <w:t xml:space="preserve">CBR </w:t>
            </w:r>
            <w:r w:rsidR="0016103F" w:rsidRPr="00185612">
              <w:rPr>
                <w:rFonts w:cstheme="minorHAnsi"/>
              </w:rPr>
              <w:t>(</w:t>
            </w:r>
            <w:r w:rsidR="009C55FE" w:rsidRPr="00185612">
              <w:rPr>
                <w:rFonts w:cstheme="minorHAnsi"/>
              </w:rPr>
              <w:t>candidates</w:t>
            </w:r>
            <w:r w:rsidR="0016103F" w:rsidRPr="00185612">
              <w:rPr>
                <w:rFonts w:cstheme="minorHAnsi"/>
              </w:rPr>
              <w:t>)</w:t>
            </w:r>
            <w:r w:rsidR="003917E7" w:rsidRPr="00185612">
              <w:rPr>
                <w:rFonts w:cstheme="minorHAnsi"/>
              </w:rPr>
              <w:t>.</w:t>
            </w:r>
          </w:p>
        </w:tc>
      </w:tr>
      <w:tr w:rsidR="001F1B00" w:rsidRPr="00185612" w14:paraId="051E0D1A" w14:textId="77777777" w:rsidTr="4C726379">
        <w:tc>
          <w:tcPr>
            <w:tcW w:w="9016" w:type="dxa"/>
          </w:tcPr>
          <w:p w14:paraId="5E448137" w14:textId="1C00A739" w:rsidR="001F1B00" w:rsidRPr="00185612" w:rsidRDefault="001F1B00" w:rsidP="00020878">
            <w:pPr>
              <w:pStyle w:val="ListParagraph"/>
              <w:numPr>
                <w:ilvl w:val="0"/>
                <w:numId w:val="8"/>
              </w:numPr>
              <w:spacing w:after="0" w:line="480" w:lineRule="auto"/>
              <w:rPr>
                <w:rFonts w:cstheme="minorHAnsi"/>
              </w:rPr>
            </w:pPr>
            <w:r w:rsidRPr="00185612">
              <w:rPr>
                <w:rFonts w:cstheme="minorHAnsi"/>
              </w:rPr>
              <w:t>Build-in extra time to allow for project slippage due to unforeseen challenges.*</w:t>
            </w:r>
          </w:p>
        </w:tc>
      </w:tr>
      <w:tr w:rsidR="001F1B00" w:rsidRPr="00185612" w14:paraId="24B2957A" w14:textId="77777777" w:rsidTr="4C726379">
        <w:tc>
          <w:tcPr>
            <w:tcW w:w="9016" w:type="dxa"/>
          </w:tcPr>
          <w:p w14:paraId="4BE4D455" w14:textId="537144C6" w:rsidR="001F1B00" w:rsidRPr="00185612" w:rsidRDefault="001F1B00" w:rsidP="00020878">
            <w:pPr>
              <w:pStyle w:val="ListParagraph"/>
              <w:numPr>
                <w:ilvl w:val="0"/>
                <w:numId w:val="8"/>
              </w:numPr>
              <w:spacing w:after="0" w:line="480" w:lineRule="auto"/>
              <w:rPr>
                <w:rFonts w:cstheme="minorHAnsi"/>
              </w:rPr>
            </w:pPr>
            <w:r w:rsidRPr="00185612">
              <w:rPr>
                <w:rFonts w:cstheme="minorHAnsi"/>
              </w:rPr>
              <w:t>Ensure necessary and multiple technologies are available for all parties, giving alternatives and/or catch-up time should primary technologies malfunction. This is especially salient for remote data collection methods.</w:t>
            </w:r>
          </w:p>
        </w:tc>
      </w:tr>
      <w:tr w:rsidR="001F1B00" w:rsidRPr="00185612" w14:paraId="55541313" w14:textId="77777777" w:rsidTr="4C726379">
        <w:tc>
          <w:tcPr>
            <w:tcW w:w="9016" w:type="dxa"/>
          </w:tcPr>
          <w:p w14:paraId="6250EAFF" w14:textId="049A77A3" w:rsidR="001F1B00" w:rsidRPr="00185612" w:rsidRDefault="001F1B00" w:rsidP="00020878">
            <w:pPr>
              <w:pStyle w:val="ListParagraph"/>
              <w:numPr>
                <w:ilvl w:val="0"/>
                <w:numId w:val="8"/>
              </w:numPr>
              <w:spacing w:after="0" w:line="480" w:lineRule="auto"/>
              <w:rPr>
                <w:rFonts w:cstheme="minorHAnsi"/>
              </w:rPr>
            </w:pPr>
            <w:r w:rsidRPr="00185612">
              <w:rPr>
                <w:rFonts w:cstheme="minorHAnsi"/>
              </w:rPr>
              <w:t>Ensure project tools are provided in multiple formats (e.g. digital and print; cloud and email) and are accessible (e.g. consider language and literacy proficiencies and (dis)ability).</w:t>
            </w:r>
          </w:p>
        </w:tc>
      </w:tr>
      <w:tr w:rsidR="001F1B00" w:rsidRPr="00185612" w14:paraId="3C31699B" w14:textId="77777777" w:rsidTr="4C726379">
        <w:tc>
          <w:tcPr>
            <w:tcW w:w="9016" w:type="dxa"/>
          </w:tcPr>
          <w:p w14:paraId="03B46FCB" w14:textId="0635635E" w:rsidR="001F1B00" w:rsidRPr="00185612" w:rsidRDefault="73BF165C" w:rsidP="00020878">
            <w:pPr>
              <w:pStyle w:val="ListParagraph"/>
              <w:numPr>
                <w:ilvl w:val="0"/>
                <w:numId w:val="8"/>
              </w:numPr>
              <w:spacing w:after="0" w:line="480" w:lineRule="auto"/>
              <w:rPr>
                <w:rFonts w:cstheme="minorHAnsi"/>
              </w:rPr>
            </w:pPr>
            <w:r w:rsidRPr="00185612">
              <w:rPr>
                <w:rFonts w:cstheme="minorHAnsi"/>
              </w:rPr>
              <w:t xml:space="preserve">Provide reasonable allowances for all parties participating in cost-incurring activities, e.g. internet, travel, phone, food, supply credit for CBRs </w:t>
            </w:r>
            <w:r w:rsidRPr="00185612">
              <w:rPr>
                <w:rFonts w:cstheme="minorHAnsi"/>
                <w:i/>
                <w:iCs/>
              </w:rPr>
              <w:t>and</w:t>
            </w:r>
            <w:r w:rsidRPr="00185612">
              <w:rPr>
                <w:rFonts w:cstheme="minorHAnsi"/>
              </w:rPr>
              <w:t xml:space="preserve"> participants.</w:t>
            </w:r>
            <w:r w:rsidR="00727B20" w:rsidRPr="00185612">
              <w:rPr>
                <w:rFonts w:cstheme="minorHAnsi"/>
              </w:rPr>
              <w:t xml:space="preserve"> Some items may be deemed</w:t>
            </w:r>
            <w:r w:rsidR="00EC6D49" w:rsidRPr="00185612">
              <w:rPr>
                <w:rFonts w:cstheme="minorHAnsi"/>
              </w:rPr>
              <w:t xml:space="preserve"> budget</w:t>
            </w:r>
            <w:r w:rsidR="00727B20" w:rsidRPr="00185612">
              <w:rPr>
                <w:rFonts w:cstheme="minorHAnsi"/>
              </w:rPr>
              <w:t xml:space="preserve"> ‘comforts’</w:t>
            </w:r>
            <w:r w:rsidR="0018556A" w:rsidRPr="00185612">
              <w:rPr>
                <w:rFonts w:cstheme="minorHAnsi"/>
              </w:rPr>
              <w:t xml:space="preserve"> by </w:t>
            </w:r>
            <w:r w:rsidR="00935AB5" w:rsidRPr="00185612">
              <w:rPr>
                <w:rFonts w:cstheme="minorHAnsi"/>
              </w:rPr>
              <w:t>decision-makers</w:t>
            </w:r>
            <w:r w:rsidR="00727B20" w:rsidRPr="00185612">
              <w:rPr>
                <w:rFonts w:cstheme="minorHAnsi"/>
              </w:rPr>
              <w:t xml:space="preserve">, but in practice, in sensitive studies, </w:t>
            </w:r>
            <w:r w:rsidR="00AB1CC8" w:rsidRPr="00185612">
              <w:rPr>
                <w:rFonts w:cstheme="minorHAnsi"/>
              </w:rPr>
              <w:t>are more often viewed as wellbeing essentials</w:t>
            </w:r>
            <w:r w:rsidR="0018556A" w:rsidRPr="00185612">
              <w:rPr>
                <w:rFonts w:cstheme="minorHAnsi"/>
              </w:rPr>
              <w:t xml:space="preserve"> for </w:t>
            </w:r>
            <w:r w:rsidR="00AB1CC8" w:rsidRPr="00185612">
              <w:rPr>
                <w:rFonts w:cstheme="minorHAnsi"/>
              </w:rPr>
              <w:t>CBRs and participants alike</w:t>
            </w:r>
            <w:r w:rsidR="0018556A" w:rsidRPr="00185612">
              <w:rPr>
                <w:rFonts w:cstheme="minorHAnsi"/>
              </w:rPr>
              <w:t>.</w:t>
            </w:r>
            <w:r w:rsidR="00EC6D49" w:rsidRPr="00185612">
              <w:rPr>
                <w:rFonts w:cstheme="minorHAnsi"/>
              </w:rPr>
              <w:t xml:space="preserve"> </w:t>
            </w:r>
            <w:r w:rsidR="00935AB5" w:rsidRPr="00185612">
              <w:rPr>
                <w:rFonts w:cstheme="minorHAnsi"/>
              </w:rPr>
              <w:t xml:space="preserve">Seek ways of reconciling budget allocation differences where possible for such </w:t>
            </w:r>
            <w:r w:rsidR="00AB21FA" w:rsidRPr="00185612">
              <w:rPr>
                <w:rFonts w:cstheme="minorHAnsi"/>
              </w:rPr>
              <w:t>investments</w:t>
            </w:r>
            <w:r w:rsidR="00935AB5" w:rsidRPr="00185612">
              <w:rPr>
                <w:rFonts w:cstheme="minorHAnsi"/>
              </w:rPr>
              <w:t>.</w:t>
            </w:r>
          </w:p>
        </w:tc>
      </w:tr>
      <w:tr w:rsidR="001F1B00" w:rsidRPr="00185612" w14:paraId="5F817A2E" w14:textId="77777777" w:rsidTr="4C726379">
        <w:tc>
          <w:tcPr>
            <w:tcW w:w="9016" w:type="dxa"/>
          </w:tcPr>
          <w:p w14:paraId="437E4DF5" w14:textId="46D9EE31" w:rsidR="001F1B00" w:rsidRPr="00185612" w:rsidRDefault="73BF165C" w:rsidP="00020878">
            <w:pPr>
              <w:pStyle w:val="ListParagraph"/>
              <w:numPr>
                <w:ilvl w:val="0"/>
                <w:numId w:val="8"/>
              </w:numPr>
              <w:spacing w:after="0" w:line="480" w:lineRule="auto"/>
              <w:rPr>
                <w:rFonts w:cstheme="minorHAnsi"/>
              </w:rPr>
            </w:pPr>
            <w:r w:rsidRPr="00185612">
              <w:rPr>
                <w:rFonts w:cstheme="minorHAnsi"/>
              </w:rPr>
              <w:t xml:space="preserve">If appropriate, consider and co-agree </w:t>
            </w:r>
            <w:r w:rsidR="0086498F" w:rsidRPr="00185612">
              <w:rPr>
                <w:rFonts w:cstheme="minorHAnsi"/>
              </w:rPr>
              <w:t xml:space="preserve">end of project </w:t>
            </w:r>
            <w:r w:rsidRPr="00185612">
              <w:rPr>
                <w:rFonts w:cstheme="minorHAnsi"/>
              </w:rPr>
              <w:t xml:space="preserve">gifts of thanks and compensation for participants </w:t>
            </w:r>
            <w:r w:rsidRPr="00185612">
              <w:rPr>
                <w:rFonts w:cstheme="minorHAnsi"/>
                <w:i/>
                <w:iCs/>
              </w:rPr>
              <w:t>with</w:t>
            </w:r>
            <w:r w:rsidRPr="00185612">
              <w:rPr>
                <w:rFonts w:cstheme="minorHAnsi"/>
              </w:rPr>
              <w:t xml:space="preserve"> CBRs (e.g.</w:t>
            </w:r>
            <w:r w:rsidR="009550DC" w:rsidRPr="00185612">
              <w:rPr>
                <w:rFonts w:cstheme="minorHAnsi"/>
              </w:rPr>
              <w:t xml:space="preserve"> letters of appreciation,</w:t>
            </w:r>
            <w:r w:rsidRPr="00185612">
              <w:rPr>
                <w:rFonts w:cstheme="minorHAnsi"/>
              </w:rPr>
              <w:t xml:space="preserve"> vouchers for participants; this was appreciated in our own project due to challenging pandemic conditions which permitted participants to meet diverse needs without </w:t>
            </w:r>
            <w:r w:rsidR="00B50C98" w:rsidRPr="00185612">
              <w:rPr>
                <w:rFonts w:cstheme="minorHAnsi"/>
              </w:rPr>
              <w:t>prescription</w:t>
            </w:r>
            <w:r w:rsidRPr="00185612">
              <w:rPr>
                <w:rFonts w:cstheme="minorHAnsi"/>
              </w:rPr>
              <w:t>).</w:t>
            </w:r>
          </w:p>
        </w:tc>
      </w:tr>
      <w:tr w:rsidR="001F1B00" w:rsidRPr="00185612" w14:paraId="73203270" w14:textId="77777777" w:rsidTr="4C726379">
        <w:tc>
          <w:tcPr>
            <w:tcW w:w="9016" w:type="dxa"/>
          </w:tcPr>
          <w:p w14:paraId="7DF9CC51" w14:textId="20AF8DF0" w:rsidR="001F1B00" w:rsidRPr="00185612" w:rsidRDefault="001F1B00" w:rsidP="00020878">
            <w:pPr>
              <w:pStyle w:val="ListParagraph"/>
              <w:numPr>
                <w:ilvl w:val="0"/>
                <w:numId w:val="8"/>
              </w:numPr>
              <w:spacing w:after="0" w:line="480" w:lineRule="auto"/>
              <w:rPr>
                <w:rFonts w:cstheme="minorHAnsi"/>
              </w:rPr>
            </w:pPr>
            <w:r w:rsidRPr="00185612">
              <w:rPr>
                <w:rFonts w:cstheme="minorHAnsi"/>
              </w:rPr>
              <w:t>As appropriate, consider offering gestures recognising CBRs during and post-service, e.g. letters of service documenting strengths for future employers, performance-based bonuses, writing references for new roles</w:t>
            </w:r>
            <w:r w:rsidR="003920D6" w:rsidRPr="00185612">
              <w:rPr>
                <w:rFonts w:cstheme="minorHAnsi"/>
              </w:rPr>
              <w:t xml:space="preserve"> or higher education opportunities</w:t>
            </w:r>
            <w:r w:rsidRPr="00185612">
              <w:rPr>
                <w:rFonts w:cstheme="minorHAnsi"/>
              </w:rPr>
              <w:t>.</w:t>
            </w:r>
          </w:p>
        </w:tc>
      </w:tr>
      <w:tr w:rsidR="001F1B00" w:rsidRPr="00185612" w14:paraId="6F0967D1" w14:textId="77777777" w:rsidTr="4C726379">
        <w:tc>
          <w:tcPr>
            <w:tcW w:w="9016" w:type="dxa"/>
          </w:tcPr>
          <w:p w14:paraId="56D97279" w14:textId="19789E6D" w:rsidR="001F1B00" w:rsidRPr="00185612" w:rsidRDefault="4C726379" w:rsidP="00020878">
            <w:pPr>
              <w:pStyle w:val="ListParagraph"/>
              <w:numPr>
                <w:ilvl w:val="0"/>
                <w:numId w:val="8"/>
              </w:numPr>
              <w:spacing w:after="0" w:line="480" w:lineRule="auto"/>
              <w:rPr>
                <w:rFonts w:cstheme="minorHAnsi"/>
              </w:rPr>
            </w:pPr>
            <w:r w:rsidRPr="00185612">
              <w:rPr>
                <w:rFonts w:cstheme="minorHAnsi"/>
              </w:rPr>
              <w:lastRenderedPageBreak/>
              <w:t xml:space="preserve">Offer wellbeing resources for all parties – particularly in violence and mental health projects, e.g. further support leaflets for participants, external clinical supervision on demand or other appropriate mental health support for CBRs </w:t>
            </w:r>
            <w:r w:rsidR="00967E07">
              <w:rPr>
                <w:rFonts w:cstheme="minorHAnsi"/>
              </w:rPr>
              <w:t>[7]</w:t>
            </w:r>
            <w:r w:rsidRPr="00185612">
              <w:rPr>
                <w:rFonts w:cstheme="minorHAnsi"/>
              </w:rPr>
              <w:t>; simple team away days</w:t>
            </w:r>
            <w:r w:rsidR="0001403B" w:rsidRPr="00185612">
              <w:rPr>
                <w:rFonts w:cstheme="minorHAnsi"/>
              </w:rPr>
              <w:t xml:space="preserve">; and </w:t>
            </w:r>
            <w:r w:rsidR="0016701C" w:rsidRPr="00185612">
              <w:rPr>
                <w:rFonts w:cstheme="minorHAnsi"/>
              </w:rPr>
              <w:t>core team time for discussing challenges with CBRs</w:t>
            </w:r>
            <w:r w:rsidRPr="00185612">
              <w:rPr>
                <w:rFonts w:cstheme="minorHAnsi"/>
              </w:rPr>
              <w:t>.</w:t>
            </w:r>
          </w:p>
        </w:tc>
      </w:tr>
      <w:tr w:rsidR="001F1B00" w:rsidRPr="00185612" w14:paraId="2916EDEE" w14:textId="77777777" w:rsidTr="4C726379">
        <w:tc>
          <w:tcPr>
            <w:tcW w:w="9016" w:type="dxa"/>
            <w:shd w:val="clear" w:color="auto" w:fill="D9D9D9" w:themeFill="background1" w:themeFillShade="D9"/>
          </w:tcPr>
          <w:p w14:paraId="04FE412C" w14:textId="1A65A947" w:rsidR="001F1B00" w:rsidRPr="009110E8" w:rsidRDefault="73BF165C" w:rsidP="73BF165C">
            <w:pPr>
              <w:spacing w:line="480" w:lineRule="auto"/>
              <w:jc w:val="both"/>
              <w:rPr>
                <w:rFonts w:cstheme="minorHAnsi"/>
                <w:b/>
                <w:bCs/>
                <w:i/>
                <w:iCs/>
              </w:rPr>
            </w:pPr>
            <w:r w:rsidRPr="00185612">
              <w:rPr>
                <w:rFonts w:cstheme="minorHAnsi"/>
                <w:b/>
                <w:bCs/>
                <w:i/>
                <w:iCs/>
              </w:rPr>
              <w:t xml:space="preserve">Considerations for </w:t>
            </w:r>
            <w:r w:rsidR="00D4578A">
              <w:rPr>
                <w:rFonts w:cstheme="minorHAnsi"/>
                <w:b/>
                <w:bCs/>
                <w:i/>
                <w:iCs/>
              </w:rPr>
              <w:t>V</w:t>
            </w:r>
            <w:r w:rsidRPr="00185612">
              <w:rPr>
                <w:rFonts w:cstheme="minorHAnsi"/>
                <w:b/>
                <w:bCs/>
                <w:i/>
                <w:iCs/>
              </w:rPr>
              <w:t xml:space="preserve">olatile </w:t>
            </w:r>
            <w:r w:rsidR="00D4578A">
              <w:rPr>
                <w:rFonts w:cstheme="minorHAnsi"/>
                <w:b/>
                <w:bCs/>
                <w:i/>
                <w:iCs/>
              </w:rPr>
              <w:t>R</w:t>
            </w:r>
            <w:r w:rsidRPr="00185612">
              <w:rPr>
                <w:rFonts w:cstheme="minorHAnsi"/>
                <w:b/>
                <w:bCs/>
                <w:i/>
                <w:iCs/>
              </w:rPr>
              <w:t xml:space="preserve">esearch </w:t>
            </w:r>
            <w:r w:rsidR="00D4578A">
              <w:rPr>
                <w:rFonts w:cstheme="minorHAnsi"/>
                <w:b/>
                <w:bCs/>
                <w:i/>
                <w:iCs/>
              </w:rPr>
              <w:t>C</w:t>
            </w:r>
            <w:r w:rsidRPr="00185612">
              <w:rPr>
                <w:rFonts w:cstheme="minorHAnsi"/>
                <w:b/>
                <w:bCs/>
                <w:i/>
                <w:iCs/>
              </w:rPr>
              <w:t>onditions</w:t>
            </w:r>
            <w:r w:rsidRPr="00185612">
              <w:rPr>
                <w:rFonts w:cstheme="minorHAnsi"/>
                <w:b/>
                <w:bCs/>
                <w:i/>
                <w:iCs/>
                <w:vertAlign w:val="superscript"/>
              </w:rPr>
              <w:t>†</w:t>
            </w:r>
            <w:r w:rsidR="009110E8">
              <w:rPr>
                <w:rFonts w:cstheme="minorHAnsi"/>
                <w:b/>
                <w:bCs/>
                <w:i/>
                <w:iCs/>
                <w:vertAlign w:val="superscript"/>
              </w:rPr>
              <w:t xml:space="preserve"> </w:t>
            </w:r>
            <w:r w:rsidR="009110E8" w:rsidRPr="001B486A">
              <w:rPr>
                <w:rFonts w:cstheme="minorHAnsi"/>
                <w:b/>
                <w:bCs/>
              </w:rPr>
              <w:t>(</w:t>
            </w:r>
            <w:r w:rsidR="00F24B59" w:rsidRPr="001B486A">
              <w:rPr>
                <w:rFonts w:cstheme="minorHAnsi"/>
                <w:b/>
                <w:bCs/>
              </w:rPr>
              <w:t>V1-V9)</w:t>
            </w:r>
          </w:p>
        </w:tc>
      </w:tr>
      <w:tr w:rsidR="001F1B00" w:rsidRPr="00185612" w14:paraId="1B40D4DC" w14:textId="77777777" w:rsidTr="4C726379">
        <w:tc>
          <w:tcPr>
            <w:tcW w:w="9016" w:type="dxa"/>
          </w:tcPr>
          <w:p w14:paraId="328E618B" w14:textId="2CFBC12F" w:rsidR="001F1B00" w:rsidRPr="00185612" w:rsidRDefault="001F1B00" w:rsidP="00532C8C">
            <w:pPr>
              <w:spacing w:line="480" w:lineRule="auto"/>
              <w:rPr>
                <w:rFonts w:cstheme="minorHAnsi"/>
              </w:rPr>
            </w:pPr>
            <w:r w:rsidRPr="00185612">
              <w:rPr>
                <w:rFonts w:cstheme="minorHAnsi"/>
              </w:rPr>
              <w:t>In addition to tackling sensitive research, teams may face additional and changeable working conditions due to natural or human-made disasters, (civil) unrest and conflict, health crises, and more. Drawing on our experience navigating the COVID-19 pandemic</w:t>
            </w:r>
            <w:r w:rsidR="00AD7636" w:rsidRPr="00185612">
              <w:rPr>
                <w:rFonts w:cstheme="minorHAnsi"/>
              </w:rPr>
              <w:t xml:space="preserve"> and a parallel economic crisis</w:t>
            </w:r>
            <w:r w:rsidRPr="00185612">
              <w:rPr>
                <w:rFonts w:cstheme="minorHAnsi"/>
              </w:rPr>
              <w:t>, we propose:</w:t>
            </w:r>
          </w:p>
        </w:tc>
      </w:tr>
      <w:tr w:rsidR="001F1B00" w:rsidRPr="00185612" w14:paraId="38C10773" w14:textId="77777777" w:rsidTr="4C726379">
        <w:tc>
          <w:tcPr>
            <w:tcW w:w="9016" w:type="dxa"/>
          </w:tcPr>
          <w:p w14:paraId="3231BA33" w14:textId="618CE2C9" w:rsidR="001F1B00" w:rsidRPr="00185612" w:rsidRDefault="4C726379" w:rsidP="00020878">
            <w:pPr>
              <w:pStyle w:val="ListParagraph"/>
              <w:numPr>
                <w:ilvl w:val="0"/>
                <w:numId w:val="9"/>
              </w:numPr>
              <w:spacing w:after="0" w:line="480" w:lineRule="auto"/>
              <w:rPr>
                <w:rFonts w:cstheme="minorHAnsi"/>
              </w:rPr>
            </w:pPr>
            <w:r w:rsidRPr="00185612">
              <w:rPr>
                <w:rFonts w:cstheme="minorHAnsi"/>
              </w:rPr>
              <w:t>Identifying potential challenging scenarios and project ‘threat’ levels with CBRs to anticipate (un)likely conditions.*</w:t>
            </w:r>
          </w:p>
        </w:tc>
      </w:tr>
      <w:tr w:rsidR="001F1B00" w:rsidRPr="00185612" w14:paraId="23BCB54F" w14:textId="77777777" w:rsidTr="4C726379">
        <w:tc>
          <w:tcPr>
            <w:tcW w:w="9016" w:type="dxa"/>
          </w:tcPr>
          <w:p w14:paraId="37E693B1" w14:textId="7FCF4950" w:rsidR="001F1B00" w:rsidRPr="00185612" w:rsidRDefault="001F1B00" w:rsidP="00020878">
            <w:pPr>
              <w:pStyle w:val="ListParagraph"/>
              <w:numPr>
                <w:ilvl w:val="0"/>
                <w:numId w:val="9"/>
              </w:numPr>
              <w:spacing w:after="0" w:line="480" w:lineRule="auto"/>
              <w:rPr>
                <w:rFonts w:cstheme="minorHAnsi"/>
              </w:rPr>
            </w:pPr>
            <w:r w:rsidRPr="00185612">
              <w:rPr>
                <w:rFonts w:cstheme="minorHAnsi"/>
              </w:rPr>
              <w:t>Developing mitigation strategies with high, medium and low levels of control for CBRs to consider how they could adapt to changing conditions.*</w:t>
            </w:r>
            <w:r w:rsidR="0053023C" w:rsidRPr="00185612">
              <w:rPr>
                <w:rFonts w:cstheme="minorHAnsi"/>
              </w:rPr>
              <w:t xml:space="preserve"> We established and trained on contingency plans for changing mobility </w:t>
            </w:r>
            <w:r w:rsidR="008F5314" w:rsidRPr="00185612">
              <w:rPr>
                <w:rFonts w:cstheme="minorHAnsi"/>
              </w:rPr>
              <w:t xml:space="preserve">restrictions during COVID-19 so all CBRs could modify </w:t>
            </w:r>
            <w:r w:rsidR="00FA0080" w:rsidRPr="00185612">
              <w:rPr>
                <w:rFonts w:cstheme="minorHAnsi"/>
              </w:rPr>
              <w:t>data collection modes safely</w:t>
            </w:r>
            <w:r w:rsidR="002638B6" w:rsidRPr="00185612">
              <w:rPr>
                <w:rFonts w:cstheme="minorHAnsi"/>
              </w:rPr>
              <w:t>, confidently</w:t>
            </w:r>
            <w:r w:rsidR="00FA0080" w:rsidRPr="00185612">
              <w:rPr>
                <w:rFonts w:cstheme="minorHAnsi"/>
              </w:rPr>
              <w:t xml:space="preserve"> and </w:t>
            </w:r>
            <w:r w:rsidR="008F5314" w:rsidRPr="00185612">
              <w:rPr>
                <w:rFonts w:cstheme="minorHAnsi"/>
              </w:rPr>
              <w:t>automatically</w:t>
            </w:r>
            <w:r w:rsidR="00162068" w:rsidRPr="00185612">
              <w:rPr>
                <w:rFonts w:cstheme="minorHAnsi"/>
              </w:rPr>
              <w:t>.</w:t>
            </w:r>
          </w:p>
        </w:tc>
      </w:tr>
      <w:tr w:rsidR="001F1B00" w:rsidRPr="00185612" w14:paraId="462AAF0B" w14:textId="77777777" w:rsidTr="4C726379">
        <w:tc>
          <w:tcPr>
            <w:tcW w:w="9016" w:type="dxa"/>
          </w:tcPr>
          <w:p w14:paraId="06780A2A" w14:textId="5D77C857" w:rsidR="001F1B00" w:rsidRPr="00185612" w:rsidRDefault="001F1B00" w:rsidP="00020878">
            <w:pPr>
              <w:pStyle w:val="ListParagraph"/>
              <w:numPr>
                <w:ilvl w:val="0"/>
                <w:numId w:val="9"/>
              </w:numPr>
              <w:spacing w:after="0" w:line="480" w:lineRule="auto"/>
              <w:rPr>
                <w:rFonts w:cstheme="minorHAnsi"/>
              </w:rPr>
            </w:pPr>
            <w:r w:rsidRPr="00185612">
              <w:rPr>
                <w:rFonts w:cstheme="minorHAnsi"/>
              </w:rPr>
              <w:t>Jointly discussing how CBRs would feel in each scenario, what and how best to deploy strategies* with appropriate inputs from the core team.</w:t>
            </w:r>
          </w:p>
        </w:tc>
      </w:tr>
      <w:tr w:rsidR="001F1B00" w:rsidRPr="00185612" w14:paraId="6CD74F35" w14:textId="77777777" w:rsidTr="4C726379">
        <w:tc>
          <w:tcPr>
            <w:tcW w:w="9016" w:type="dxa"/>
          </w:tcPr>
          <w:p w14:paraId="5974B1D6" w14:textId="62A70850" w:rsidR="001F1B00" w:rsidRPr="00185612" w:rsidRDefault="00F716C1" w:rsidP="00020878">
            <w:pPr>
              <w:pStyle w:val="ListParagraph"/>
              <w:numPr>
                <w:ilvl w:val="0"/>
                <w:numId w:val="9"/>
              </w:numPr>
              <w:spacing w:after="0" w:line="480" w:lineRule="auto"/>
              <w:rPr>
                <w:rFonts w:cstheme="minorHAnsi"/>
              </w:rPr>
            </w:pPr>
            <w:r w:rsidRPr="00185612">
              <w:rPr>
                <w:rFonts w:cstheme="minorHAnsi"/>
              </w:rPr>
              <w:t>Formalising and reviewing safety plans, including extraction planning.</w:t>
            </w:r>
          </w:p>
        </w:tc>
      </w:tr>
      <w:tr w:rsidR="001F1B00" w:rsidRPr="00185612" w14:paraId="1D6B5BC0" w14:textId="77777777" w:rsidTr="4C726379">
        <w:tc>
          <w:tcPr>
            <w:tcW w:w="9016" w:type="dxa"/>
          </w:tcPr>
          <w:p w14:paraId="66D1E5D7" w14:textId="4017C4ED" w:rsidR="001F1B00" w:rsidRPr="00185612" w:rsidRDefault="00F716C1" w:rsidP="00020878">
            <w:pPr>
              <w:pStyle w:val="ListParagraph"/>
              <w:numPr>
                <w:ilvl w:val="0"/>
                <w:numId w:val="9"/>
              </w:numPr>
              <w:spacing w:after="0" w:line="480" w:lineRule="auto"/>
              <w:rPr>
                <w:rFonts w:cstheme="minorHAnsi"/>
              </w:rPr>
            </w:pPr>
            <w:r w:rsidRPr="00185612">
              <w:rPr>
                <w:rFonts w:cstheme="minorHAnsi"/>
              </w:rPr>
              <w:t>Ensuring appropriate insurance is in place for field-based team members.</w:t>
            </w:r>
            <w:r w:rsidR="00162068" w:rsidRPr="00185612">
              <w:rPr>
                <w:rFonts w:cstheme="minorHAnsi"/>
              </w:rPr>
              <w:t xml:space="preserve"> This may include health, accident and transportation insurance</w:t>
            </w:r>
            <w:r w:rsidR="00427239" w:rsidRPr="00185612">
              <w:rPr>
                <w:rFonts w:cstheme="minorHAnsi"/>
              </w:rPr>
              <w:t xml:space="preserve"> coverage.</w:t>
            </w:r>
          </w:p>
        </w:tc>
      </w:tr>
      <w:tr w:rsidR="001F1B00" w:rsidRPr="00185612" w14:paraId="7EB44D70" w14:textId="77777777" w:rsidTr="4C726379">
        <w:tc>
          <w:tcPr>
            <w:tcW w:w="9016" w:type="dxa"/>
          </w:tcPr>
          <w:p w14:paraId="6111B0B0" w14:textId="5F2F288C" w:rsidR="001F1B00" w:rsidRPr="00185612" w:rsidRDefault="00F716C1" w:rsidP="00020878">
            <w:pPr>
              <w:pStyle w:val="ListParagraph"/>
              <w:numPr>
                <w:ilvl w:val="0"/>
                <w:numId w:val="9"/>
              </w:numPr>
              <w:spacing w:after="0" w:line="480" w:lineRule="auto"/>
              <w:rPr>
                <w:rFonts w:cstheme="minorHAnsi"/>
              </w:rPr>
            </w:pPr>
            <w:r w:rsidRPr="00185612">
              <w:rPr>
                <w:rFonts w:cstheme="minorHAnsi"/>
              </w:rPr>
              <w:t>Providing project-tailored health and safety kits for fieldwork/travel.</w:t>
            </w:r>
            <w:r w:rsidR="00427239" w:rsidRPr="00185612">
              <w:rPr>
                <w:rFonts w:cstheme="minorHAnsi"/>
              </w:rPr>
              <w:t xml:space="preserve"> We expanded standard first aid kits with COVID-19 and </w:t>
            </w:r>
            <w:r w:rsidR="00D82F56" w:rsidRPr="00185612">
              <w:rPr>
                <w:rFonts w:cstheme="minorHAnsi"/>
              </w:rPr>
              <w:t>environmentally relevant safety supplies.</w:t>
            </w:r>
          </w:p>
        </w:tc>
      </w:tr>
      <w:tr w:rsidR="001F1B00" w:rsidRPr="00185612" w14:paraId="754564BE" w14:textId="77777777" w:rsidTr="4C726379">
        <w:tc>
          <w:tcPr>
            <w:tcW w:w="9016" w:type="dxa"/>
          </w:tcPr>
          <w:p w14:paraId="6D872939" w14:textId="6F9828BD" w:rsidR="001F1B00" w:rsidRPr="00185612" w:rsidRDefault="00F716C1" w:rsidP="00020878">
            <w:pPr>
              <w:pStyle w:val="ListParagraph"/>
              <w:numPr>
                <w:ilvl w:val="0"/>
                <w:numId w:val="9"/>
              </w:numPr>
              <w:spacing w:after="0" w:line="480" w:lineRule="auto"/>
              <w:rPr>
                <w:rFonts w:cstheme="minorHAnsi"/>
              </w:rPr>
            </w:pPr>
            <w:r w:rsidRPr="00185612">
              <w:rPr>
                <w:rFonts w:cstheme="minorHAnsi"/>
              </w:rPr>
              <w:t xml:space="preserve">Collectively anticipating and accepting undesirable shifts in the project may be necessary including additional and/or different uses of time, training, resources, and project goals.* </w:t>
            </w:r>
            <w:r w:rsidR="00AA5D6A" w:rsidRPr="00185612">
              <w:rPr>
                <w:rFonts w:cstheme="minorHAnsi"/>
              </w:rPr>
              <w:t>We</w:t>
            </w:r>
            <w:r w:rsidR="00C551DC" w:rsidRPr="00185612">
              <w:rPr>
                <w:rFonts w:cstheme="minorHAnsi"/>
              </w:rPr>
              <w:t xml:space="preserve">, </w:t>
            </w:r>
            <w:r w:rsidR="00C551DC" w:rsidRPr="00185612">
              <w:rPr>
                <w:rFonts w:cstheme="minorHAnsi"/>
              </w:rPr>
              <w:lastRenderedPageBreak/>
              <w:t>for example,</w:t>
            </w:r>
            <w:r w:rsidR="00AA5D6A" w:rsidRPr="00185612">
              <w:rPr>
                <w:rFonts w:cstheme="minorHAnsi"/>
              </w:rPr>
              <w:t xml:space="preserve"> extend</w:t>
            </w:r>
            <w:r w:rsidR="009352B8" w:rsidRPr="00185612">
              <w:rPr>
                <w:rFonts w:cstheme="minorHAnsi"/>
              </w:rPr>
              <w:t>ed</w:t>
            </w:r>
            <w:r w:rsidR="00AA5D6A" w:rsidRPr="00185612">
              <w:rPr>
                <w:rFonts w:cstheme="minorHAnsi"/>
              </w:rPr>
              <w:t xml:space="preserve"> </w:t>
            </w:r>
            <w:r w:rsidR="009352B8" w:rsidRPr="00185612">
              <w:rPr>
                <w:rFonts w:cstheme="minorHAnsi"/>
              </w:rPr>
              <w:t xml:space="preserve">CBR contracts twice during COVID-19, accommodating </w:t>
            </w:r>
            <w:r w:rsidR="00C551DC" w:rsidRPr="00185612">
              <w:rPr>
                <w:rFonts w:cstheme="minorHAnsi"/>
              </w:rPr>
              <w:t>any</w:t>
            </w:r>
            <w:r w:rsidR="009352B8" w:rsidRPr="00185612">
              <w:rPr>
                <w:rFonts w:cstheme="minorHAnsi"/>
              </w:rPr>
              <w:t xml:space="preserve"> additional employment commitments beyond our project.</w:t>
            </w:r>
          </w:p>
        </w:tc>
      </w:tr>
      <w:tr w:rsidR="001F1B00" w:rsidRPr="00185612" w14:paraId="7A267897" w14:textId="77777777" w:rsidTr="4C726379">
        <w:tc>
          <w:tcPr>
            <w:tcW w:w="9016" w:type="dxa"/>
          </w:tcPr>
          <w:p w14:paraId="09D98DED" w14:textId="2B2B054D" w:rsidR="001F1B00" w:rsidRPr="00185612" w:rsidRDefault="00F716C1" w:rsidP="00020878">
            <w:pPr>
              <w:pStyle w:val="ListParagraph"/>
              <w:numPr>
                <w:ilvl w:val="0"/>
                <w:numId w:val="9"/>
              </w:numPr>
              <w:spacing w:after="0" w:line="480" w:lineRule="auto"/>
              <w:rPr>
                <w:rFonts w:cstheme="minorHAnsi"/>
              </w:rPr>
            </w:pPr>
            <w:r w:rsidRPr="00185612">
              <w:rPr>
                <w:rFonts w:cstheme="minorHAnsi"/>
              </w:rPr>
              <w:lastRenderedPageBreak/>
              <w:t xml:space="preserve">Openly discussing the potentiality for project interruption and/or cessation in extreme circumstances and reiterating that no research is more important than team or participant wellbeing.* </w:t>
            </w:r>
          </w:p>
        </w:tc>
      </w:tr>
      <w:tr w:rsidR="001F1B00" w:rsidRPr="00185612" w14:paraId="7F9BA727" w14:textId="77777777" w:rsidTr="4C726379">
        <w:tc>
          <w:tcPr>
            <w:tcW w:w="9016" w:type="dxa"/>
          </w:tcPr>
          <w:p w14:paraId="16ACD608" w14:textId="08E3497F" w:rsidR="001F1B00" w:rsidRPr="00185612" w:rsidRDefault="00F716C1" w:rsidP="00020878">
            <w:pPr>
              <w:pStyle w:val="ListParagraph"/>
              <w:numPr>
                <w:ilvl w:val="0"/>
                <w:numId w:val="9"/>
              </w:numPr>
              <w:spacing w:after="0" w:line="480" w:lineRule="auto"/>
              <w:rPr>
                <w:rFonts w:cstheme="minorHAnsi"/>
              </w:rPr>
            </w:pPr>
            <w:r w:rsidRPr="00185612">
              <w:rPr>
                <w:rFonts w:cstheme="minorHAnsi"/>
              </w:rPr>
              <w:t>Transparently agreeing employment conditions and commitments under such circumstances to foster mutual trust.</w:t>
            </w:r>
            <w:r w:rsidR="00CC20A4" w:rsidRPr="00185612">
              <w:rPr>
                <w:rFonts w:cstheme="minorHAnsi"/>
              </w:rPr>
              <w:t xml:space="preserve"> </w:t>
            </w:r>
            <w:r w:rsidR="00FD52E6" w:rsidRPr="00185612">
              <w:rPr>
                <w:rFonts w:cstheme="minorHAnsi"/>
              </w:rPr>
              <w:t>The core team</w:t>
            </w:r>
            <w:r w:rsidR="00CC20A4" w:rsidRPr="00185612">
              <w:rPr>
                <w:rFonts w:cstheme="minorHAnsi"/>
              </w:rPr>
              <w:t xml:space="preserve"> redesigned our project </w:t>
            </w:r>
            <w:r w:rsidR="00FD52E6" w:rsidRPr="00185612">
              <w:rPr>
                <w:rFonts w:cstheme="minorHAnsi"/>
              </w:rPr>
              <w:t xml:space="preserve">amidst COVID-19 to honour </w:t>
            </w:r>
            <w:r w:rsidR="008C690E" w:rsidRPr="00185612">
              <w:rPr>
                <w:rFonts w:cstheme="minorHAnsi"/>
              </w:rPr>
              <w:t xml:space="preserve">original </w:t>
            </w:r>
            <w:r w:rsidR="00FD52E6" w:rsidRPr="00185612">
              <w:rPr>
                <w:rFonts w:cstheme="minorHAnsi"/>
              </w:rPr>
              <w:t>offers of employment to CBRs</w:t>
            </w:r>
            <w:r w:rsidR="00B75C0D" w:rsidRPr="00185612">
              <w:rPr>
                <w:rFonts w:cstheme="minorHAnsi"/>
              </w:rPr>
              <w:t xml:space="preserve">, </w:t>
            </w:r>
            <w:r w:rsidR="00CF3EE2" w:rsidRPr="00185612">
              <w:rPr>
                <w:rFonts w:cstheme="minorHAnsi"/>
              </w:rPr>
              <w:t xml:space="preserve">with both sides </w:t>
            </w:r>
            <w:r w:rsidR="00B75C0D" w:rsidRPr="00185612">
              <w:rPr>
                <w:rFonts w:cstheme="minorHAnsi"/>
              </w:rPr>
              <w:t xml:space="preserve">accepting conditions </w:t>
            </w:r>
            <w:r w:rsidR="00CF3EE2" w:rsidRPr="00185612">
              <w:rPr>
                <w:rFonts w:cstheme="minorHAnsi"/>
              </w:rPr>
              <w:t>such as length of contract could not be fully re-matched</w:t>
            </w:r>
            <w:r w:rsidR="00FD52E6" w:rsidRPr="00185612">
              <w:rPr>
                <w:rFonts w:cstheme="minorHAnsi"/>
              </w:rPr>
              <w:t>.</w:t>
            </w:r>
          </w:p>
        </w:tc>
      </w:tr>
      <w:tr w:rsidR="001F1B00" w:rsidRPr="00185612" w14:paraId="7B7478E2" w14:textId="77777777" w:rsidTr="4C726379">
        <w:tc>
          <w:tcPr>
            <w:tcW w:w="9016" w:type="dxa"/>
          </w:tcPr>
          <w:p w14:paraId="155D5746" w14:textId="77777777" w:rsidR="00F716C1" w:rsidRPr="00185612" w:rsidRDefault="00F716C1" w:rsidP="00532C8C">
            <w:pPr>
              <w:spacing w:line="480" w:lineRule="auto"/>
              <w:rPr>
                <w:rFonts w:cstheme="minorHAnsi"/>
              </w:rPr>
            </w:pPr>
            <w:r w:rsidRPr="00185612">
              <w:rPr>
                <w:rFonts w:cstheme="minorHAnsi"/>
              </w:rPr>
              <w:t xml:space="preserve">* </w:t>
            </w:r>
            <w:r w:rsidRPr="00185612">
              <w:rPr>
                <w:rFonts w:cstheme="minorHAnsi"/>
                <w:sz w:val="18"/>
                <w:szCs w:val="18"/>
              </w:rPr>
              <w:t>Denotes recommendations which could be (partially) independently enacted by CBRs</w:t>
            </w:r>
          </w:p>
          <w:p w14:paraId="6EB045D9" w14:textId="6F4940CC" w:rsidR="001F1B00" w:rsidRPr="00185612" w:rsidRDefault="00F716C1" w:rsidP="00532C8C">
            <w:pPr>
              <w:spacing w:line="480" w:lineRule="auto"/>
              <w:rPr>
                <w:rFonts w:cstheme="minorHAnsi"/>
              </w:rPr>
            </w:pPr>
            <w:r w:rsidRPr="00185612">
              <w:rPr>
                <w:rFonts w:cstheme="minorHAnsi"/>
              </w:rPr>
              <w:t xml:space="preserve">† </w:t>
            </w:r>
            <w:r w:rsidRPr="00185612">
              <w:rPr>
                <w:rFonts w:cstheme="minorHAnsi"/>
                <w:sz w:val="18"/>
                <w:szCs w:val="18"/>
              </w:rPr>
              <w:t xml:space="preserve">While we stress these recommendations for volatile contexts, all items are relevant and reasonable for projects deemed </w:t>
            </w:r>
            <w:r w:rsidR="00532C8C" w:rsidRPr="00185612">
              <w:rPr>
                <w:rFonts w:cstheme="minorHAnsi"/>
                <w:sz w:val="18"/>
                <w:szCs w:val="18"/>
              </w:rPr>
              <w:t>low risk</w:t>
            </w:r>
            <w:r w:rsidRPr="00185612">
              <w:rPr>
                <w:rFonts w:cstheme="minorHAnsi"/>
                <w:sz w:val="18"/>
                <w:szCs w:val="18"/>
              </w:rPr>
              <w:t xml:space="preserve"> at their inception as field conditions can and do change swiftly.</w:t>
            </w:r>
          </w:p>
        </w:tc>
      </w:tr>
    </w:tbl>
    <w:p w14:paraId="4465C1A3" w14:textId="77777777" w:rsidR="00BB6ABC" w:rsidRPr="00BB6ABC" w:rsidRDefault="00BB6ABC">
      <w:pPr>
        <w:rPr>
          <w:lang w:val="en-US"/>
        </w:rPr>
      </w:pPr>
    </w:p>
    <w:sectPr w:rsidR="00BB6ABC" w:rsidRPr="00BB6ABC" w:rsidSect="001856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F251" w14:textId="77777777" w:rsidR="004B3F49" w:rsidRDefault="004B3F49" w:rsidP="00630C50">
      <w:pPr>
        <w:spacing w:after="0" w:line="240" w:lineRule="auto"/>
      </w:pPr>
      <w:r>
        <w:separator/>
      </w:r>
    </w:p>
  </w:endnote>
  <w:endnote w:type="continuationSeparator" w:id="0">
    <w:p w14:paraId="76CD913C" w14:textId="77777777" w:rsidR="004B3F49" w:rsidRDefault="004B3F49" w:rsidP="00630C50">
      <w:pPr>
        <w:spacing w:after="0" w:line="240" w:lineRule="auto"/>
      </w:pPr>
      <w:r>
        <w:continuationSeparator/>
      </w:r>
    </w:p>
  </w:endnote>
  <w:endnote w:type="continuationNotice" w:id="1">
    <w:p w14:paraId="70688E5D" w14:textId="77777777" w:rsidR="004B3F49" w:rsidRDefault="004B3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96117"/>
      <w:docPartObj>
        <w:docPartGallery w:val="Page Numbers (Bottom of Page)"/>
        <w:docPartUnique/>
      </w:docPartObj>
    </w:sdtPr>
    <w:sdtEndPr>
      <w:rPr>
        <w:noProof/>
      </w:rPr>
    </w:sdtEndPr>
    <w:sdtContent>
      <w:p w14:paraId="7E07721D" w14:textId="011EC5BA" w:rsidR="00630C50" w:rsidRDefault="00630C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4C1F48" w14:textId="77777777" w:rsidR="00630C50" w:rsidRDefault="0063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979E" w14:textId="77777777" w:rsidR="004B3F49" w:rsidRDefault="004B3F49" w:rsidP="00630C50">
      <w:pPr>
        <w:spacing w:after="0" w:line="240" w:lineRule="auto"/>
      </w:pPr>
      <w:r>
        <w:separator/>
      </w:r>
    </w:p>
  </w:footnote>
  <w:footnote w:type="continuationSeparator" w:id="0">
    <w:p w14:paraId="18878552" w14:textId="77777777" w:rsidR="004B3F49" w:rsidRDefault="004B3F49" w:rsidP="00630C50">
      <w:pPr>
        <w:spacing w:after="0" w:line="240" w:lineRule="auto"/>
      </w:pPr>
      <w:r>
        <w:continuationSeparator/>
      </w:r>
    </w:p>
  </w:footnote>
  <w:footnote w:type="continuationNotice" w:id="1">
    <w:p w14:paraId="3348B8C4" w14:textId="77777777" w:rsidR="004B3F49" w:rsidRDefault="004B3F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239A"/>
    <w:multiLevelType w:val="hybridMultilevel"/>
    <w:tmpl w:val="2D4E8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E6420"/>
    <w:multiLevelType w:val="hybridMultilevel"/>
    <w:tmpl w:val="FDB0DDC4"/>
    <w:lvl w:ilvl="0" w:tplc="0F1C001A">
      <w:start w:val="1"/>
      <w:numFmt w:val="decimal"/>
      <w:lvlText w:val="R%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47C5D7B"/>
    <w:multiLevelType w:val="hybridMultilevel"/>
    <w:tmpl w:val="F0BA9E1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40460D"/>
    <w:multiLevelType w:val="hybridMultilevel"/>
    <w:tmpl w:val="87820AF4"/>
    <w:lvl w:ilvl="0" w:tplc="47E44F8A">
      <w:start w:val="1"/>
      <w:numFmt w:val="decimal"/>
      <w:lvlText w:val="T%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6481C78"/>
    <w:multiLevelType w:val="hybridMultilevel"/>
    <w:tmpl w:val="E812C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E1735C"/>
    <w:multiLevelType w:val="hybridMultilevel"/>
    <w:tmpl w:val="6E5EAF56"/>
    <w:lvl w:ilvl="0" w:tplc="EAB81A4E">
      <w:start w:val="1"/>
      <w:numFmt w:val="decimal"/>
      <w:lvlText w:val="D%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A6734AC"/>
    <w:multiLevelType w:val="hybridMultilevel"/>
    <w:tmpl w:val="43E4D55C"/>
    <w:lvl w:ilvl="0" w:tplc="14345D8C">
      <w:start w:val="1"/>
      <w:numFmt w:val="decimal"/>
      <w:lvlText w:val="V%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50B06A5"/>
    <w:multiLevelType w:val="hybridMultilevel"/>
    <w:tmpl w:val="4DCC088A"/>
    <w:lvl w:ilvl="0" w:tplc="48F08746">
      <w:start w:val="1"/>
      <w:numFmt w:val="decimal"/>
      <w:lvlText w:val="C%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9E6B13"/>
    <w:multiLevelType w:val="hybridMultilevel"/>
    <w:tmpl w:val="E812C2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5353900">
    <w:abstractNumId w:val="7"/>
  </w:num>
  <w:num w:numId="2" w16cid:durableId="1984698091">
    <w:abstractNumId w:val="0"/>
  </w:num>
  <w:num w:numId="3" w16cid:durableId="1979068451">
    <w:abstractNumId w:val="4"/>
  </w:num>
  <w:num w:numId="4" w16cid:durableId="2132746649">
    <w:abstractNumId w:val="8"/>
  </w:num>
  <w:num w:numId="5" w16cid:durableId="672293544">
    <w:abstractNumId w:val="2"/>
  </w:num>
  <w:num w:numId="6" w16cid:durableId="1152521969">
    <w:abstractNumId w:val="5"/>
  </w:num>
  <w:num w:numId="7" w16cid:durableId="761605056">
    <w:abstractNumId w:val="3"/>
  </w:num>
  <w:num w:numId="8" w16cid:durableId="1426685112">
    <w:abstractNumId w:val="1"/>
  </w:num>
  <w:num w:numId="9" w16cid:durableId="1658879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BC"/>
    <w:rsid w:val="0001403B"/>
    <w:rsid w:val="00020878"/>
    <w:rsid w:val="00026B99"/>
    <w:rsid w:val="000462D3"/>
    <w:rsid w:val="000E424B"/>
    <w:rsid w:val="000F60B1"/>
    <w:rsid w:val="000F6593"/>
    <w:rsid w:val="00101259"/>
    <w:rsid w:val="00103F63"/>
    <w:rsid w:val="00115DC7"/>
    <w:rsid w:val="00122A40"/>
    <w:rsid w:val="00144181"/>
    <w:rsid w:val="001521BF"/>
    <w:rsid w:val="0016103F"/>
    <w:rsid w:val="00162068"/>
    <w:rsid w:val="0016701C"/>
    <w:rsid w:val="00177BB4"/>
    <w:rsid w:val="00184110"/>
    <w:rsid w:val="0018556A"/>
    <w:rsid w:val="00185612"/>
    <w:rsid w:val="00195C42"/>
    <w:rsid w:val="001A1B26"/>
    <w:rsid w:val="001B486A"/>
    <w:rsid w:val="001F1B00"/>
    <w:rsid w:val="0020365A"/>
    <w:rsid w:val="00231696"/>
    <w:rsid w:val="00262683"/>
    <w:rsid w:val="002638B6"/>
    <w:rsid w:val="002920B6"/>
    <w:rsid w:val="002C29E1"/>
    <w:rsid w:val="002D1953"/>
    <w:rsid w:val="002D581D"/>
    <w:rsid w:val="002D789D"/>
    <w:rsid w:val="002F5885"/>
    <w:rsid w:val="00303B96"/>
    <w:rsid w:val="00306998"/>
    <w:rsid w:val="003274FB"/>
    <w:rsid w:val="003917E7"/>
    <w:rsid w:val="003920D6"/>
    <w:rsid w:val="00392ACB"/>
    <w:rsid w:val="003B0D57"/>
    <w:rsid w:val="003C2430"/>
    <w:rsid w:val="003E3387"/>
    <w:rsid w:val="0040022A"/>
    <w:rsid w:val="00404652"/>
    <w:rsid w:val="004147B6"/>
    <w:rsid w:val="00425490"/>
    <w:rsid w:val="00425D95"/>
    <w:rsid w:val="00427239"/>
    <w:rsid w:val="00444E17"/>
    <w:rsid w:val="004658CD"/>
    <w:rsid w:val="00477CA5"/>
    <w:rsid w:val="00491318"/>
    <w:rsid w:val="004A5EBC"/>
    <w:rsid w:val="004B3F49"/>
    <w:rsid w:val="004D51D0"/>
    <w:rsid w:val="00515B64"/>
    <w:rsid w:val="0052589B"/>
    <w:rsid w:val="0053023C"/>
    <w:rsid w:val="00532C8C"/>
    <w:rsid w:val="00537A68"/>
    <w:rsid w:val="005502E0"/>
    <w:rsid w:val="005938EA"/>
    <w:rsid w:val="005B04C0"/>
    <w:rsid w:val="005B23A4"/>
    <w:rsid w:val="005C0E9F"/>
    <w:rsid w:val="005D5D4A"/>
    <w:rsid w:val="005F6872"/>
    <w:rsid w:val="0061793A"/>
    <w:rsid w:val="0062397C"/>
    <w:rsid w:val="00626F67"/>
    <w:rsid w:val="00630C50"/>
    <w:rsid w:val="00637CA5"/>
    <w:rsid w:val="006419DC"/>
    <w:rsid w:val="00687A6D"/>
    <w:rsid w:val="00691680"/>
    <w:rsid w:val="006B2836"/>
    <w:rsid w:val="00727B20"/>
    <w:rsid w:val="00730ACF"/>
    <w:rsid w:val="00737877"/>
    <w:rsid w:val="007420BD"/>
    <w:rsid w:val="00762479"/>
    <w:rsid w:val="007841B3"/>
    <w:rsid w:val="00787B95"/>
    <w:rsid w:val="00795A4B"/>
    <w:rsid w:val="007D236C"/>
    <w:rsid w:val="007D4E8B"/>
    <w:rsid w:val="007E5857"/>
    <w:rsid w:val="007F657E"/>
    <w:rsid w:val="00810289"/>
    <w:rsid w:val="00823C09"/>
    <w:rsid w:val="00827EF8"/>
    <w:rsid w:val="008354FB"/>
    <w:rsid w:val="00837733"/>
    <w:rsid w:val="00852176"/>
    <w:rsid w:val="00857F0A"/>
    <w:rsid w:val="00861C17"/>
    <w:rsid w:val="00862B19"/>
    <w:rsid w:val="0086498F"/>
    <w:rsid w:val="00883E5D"/>
    <w:rsid w:val="0088525A"/>
    <w:rsid w:val="008878A7"/>
    <w:rsid w:val="008965AD"/>
    <w:rsid w:val="008C690E"/>
    <w:rsid w:val="008F5314"/>
    <w:rsid w:val="00905390"/>
    <w:rsid w:val="009110E8"/>
    <w:rsid w:val="009164B7"/>
    <w:rsid w:val="009352B8"/>
    <w:rsid w:val="00935AB5"/>
    <w:rsid w:val="00937707"/>
    <w:rsid w:val="00942237"/>
    <w:rsid w:val="009550DC"/>
    <w:rsid w:val="00964D99"/>
    <w:rsid w:val="00967E07"/>
    <w:rsid w:val="00994F5F"/>
    <w:rsid w:val="009C0768"/>
    <w:rsid w:val="009C55FE"/>
    <w:rsid w:val="00A072CC"/>
    <w:rsid w:val="00A11A4D"/>
    <w:rsid w:val="00A25BE4"/>
    <w:rsid w:val="00A345B5"/>
    <w:rsid w:val="00A56FFC"/>
    <w:rsid w:val="00A72E97"/>
    <w:rsid w:val="00A84DF0"/>
    <w:rsid w:val="00AA2ABB"/>
    <w:rsid w:val="00AA50BB"/>
    <w:rsid w:val="00AA5D6A"/>
    <w:rsid w:val="00AB1CC8"/>
    <w:rsid w:val="00AB21FA"/>
    <w:rsid w:val="00AC2D02"/>
    <w:rsid w:val="00AD7636"/>
    <w:rsid w:val="00B03321"/>
    <w:rsid w:val="00B0602C"/>
    <w:rsid w:val="00B21B14"/>
    <w:rsid w:val="00B50C98"/>
    <w:rsid w:val="00B75C0D"/>
    <w:rsid w:val="00B82C35"/>
    <w:rsid w:val="00B947EF"/>
    <w:rsid w:val="00B9692E"/>
    <w:rsid w:val="00BA799D"/>
    <w:rsid w:val="00BB6ABC"/>
    <w:rsid w:val="00BD2A60"/>
    <w:rsid w:val="00BE59F1"/>
    <w:rsid w:val="00C3010B"/>
    <w:rsid w:val="00C519AF"/>
    <w:rsid w:val="00C551DC"/>
    <w:rsid w:val="00C62323"/>
    <w:rsid w:val="00C673D3"/>
    <w:rsid w:val="00CA6B5D"/>
    <w:rsid w:val="00CC1E24"/>
    <w:rsid w:val="00CC20A4"/>
    <w:rsid w:val="00CE1B85"/>
    <w:rsid w:val="00CF3EE2"/>
    <w:rsid w:val="00D13737"/>
    <w:rsid w:val="00D21F81"/>
    <w:rsid w:val="00D277F6"/>
    <w:rsid w:val="00D4578A"/>
    <w:rsid w:val="00D52117"/>
    <w:rsid w:val="00D62AC7"/>
    <w:rsid w:val="00D82F56"/>
    <w:rsid w:val="00DC0BB5"/>
    <w:rsid w:val="00DD0F79"/>
    <w:rsid w:val="00DD38A7"/>
    <w:rsid w:val="00DF513F"/>
    <w:rsid w:val="00E00486"/>
    <w:rsid w:val="00E06C32"/>
    <w:rsid w:val="00E608E5"/>
    <w:rsid w:val="00E81000"/>
    <w:rsid w:val="00EA0112"/>
    <w:rsid w:val="00EA16A6"/>
    <w:rsid w:val="00EB43F3"/>
    <w:rsid w:val="00EC6D49"/>
    <w:rsid w:val="00EE1CEE"/>
    <w:rsid w:val="00EF0721"/>
    <w:rsid w:val="00EF2CEF"/>
    <w:rsid w:val="00F16802"/>
    <w:rsid w:val="00F24B59"/>
    <w:rsid w:val="00F333DD"/>
    <w:rsid w:val="00F62AE1"/>
    <w:rsid w:val="00F716C1"/>
    <w:rsid w:val="00FA0080"/>
    <w:rsid w:val="00FB59D6"/>
    <w:rsid w:val="00FD4C0A"/>
    <w:rsid w:val="00FD52E6"/>
    <w:rsid w:val="00FE15A1"/>
    <w:rsid w:val="00FE7906"/>
    <w:rsid w:val="00FF1B8C"/>
    <w:rsid w:val="00FF3C95"/>
    <w:rsid w:val="2EC9BF6C"/>
    <w:rsid w:val="4C726379"/>
    <w:rsid w:val="73BF16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A0DF"/>
  <w15:chartTrackingRefBased/>
  <w15:docId w15:val="{8543D0CC-4B2C-4B25-B8BF-9628A102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6ABC"/>
    <w:rPr>
      <w:sz w:val="16"/>
      <w:szCs w:val="16"/>
    </w:rPr>
  </w:style>
  <w:style w:type="paragraph" w:styleId="CommentText">
    <w:name w:val="annotation text"/>
    <w:basedOn w:val="Normal"/>
    <w:link w:val="CommentTextChar"/>
    <w:uiPriority w:val="99"/>
    <w:unhideWhenUsed/>
    <w:rsid w:val="00BB6ABC"/>
    <w:pPr>
      <w:spacing w:after="200" w:line="240" w:lineRule="auto"/>
    </w:pPr>
    <w:rPr>
      <w:sz w:val="20"/>
      <w:szCs w:val="20"/>
      <w:lang w:bidi="si-LK"/>
    </w:rPr>
  </w:style>
  <w:style w:type="character" w:customStyle="1" w:styleId="CommentTextChar">
    <w:name w:val="Comment Text Char"/>
    <w:basedOn w:val="DefaultParagraphFont"/>
    <w:link w:val="CommentText"/>
    <w:uiPriority w:val="99"/>
    <w:rsid w:val="00BB6ABC"/>
    <w:rPr>
      <w:sz w:val="20"/>
      <w:szCs w:val="20"/>
      <w:lang w:bidi="si-LK"/>
    </w:rPr>
  </w:style>
  <w:style w:type="paragraph" w:styleId="ListParagraph">
    <w:name w:val="List Paragraph"/>
    <w:basedOn w:val="Normal"/>
    <w:uiPriority w:val="34"/>
    <w:qFormat/>
    <w:rsid w:val="00BB6ABC"/>
    <w:pPr>
      <w:spacing w:after="200" w:line="276" w:lineRule="auto"/>
      <w:ind w:left="720"/>
      <w:contextualSpacing/>
    </w:pPr>
    <w:rPr>
      <w:lang w:bidi="si-LK"/>
    </w:rPr>
  </w:style>
  <w:style w:type="table" w:styleId="TableGrid">
    <w:name w:val="Table Grid"/>
    <w:basedOn w:val="TableNormal"/>
    <w:uiPriority w:val="39"/>
    <w:rsid w:val="00BB6ABC"/>
    <w:pPr>
      <w:spacing w:after="0" w:line="240" w:lineRule="auto"/>
    </w:pPr>
    <w:rPr>
      <w:lang w:val="en-US"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6ABC"/>
    <w:pPr>
      <w:spacing w:after="160"/>
    </w:pPr>
    <w:rPr>
      <w:b/>
      <w:bCs/>
      <w:lang w:bidi="ar-SA"/>
    </w:rPr>
  </w:style>
  <w:style w:type="character" w:customStyle="1" w:styleId="CommentSubjectChar">
    <w:name w:val="Comment Subject Char"/>
    <w:basedOn w:val="CommentTextChar"/>
    <w:link w:val="CommentSubject"/>
    <w:uiPriority w:val="99"/>
    <w:semiHidden/>
    <w:rsid w:val="00BB6ABC"/>
    <w:rPr>
      <w:b/>
      <w:bCs/>
      <w:sz w:val="20"/>
      <w:szCs w:val="20"/>
      <w:lang w:bidi="si-LK"/>
    </w:rPr>
  </w:style>
  <w:style w:type="character" w:styleId="LineNumber">
    <w:name w:val="line number"/>
    <w:basedOn w:val="DefaultParagraphFont"/>
    <w:uiPriority w:val="99"/>
    <w:semiHidden/>
    <w:unhideWhenUsed/>
    <w:rsid w:val="00630C50"/>
  </w:style>
  <w:style w:type="paragraph" w:styleId="Header">
    <w:name w:val="header"/>
    <w:basedOn w:val="Normal"/>
    <w:link w:val="HeaderChar"/>
    <w:uiPriority w:val="99"/>
    <w:unhideWhenUsed/>
    <w:rsid w:val="00630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C50"/>
  </w:style>
  <w:style w:type="paragraph" w:styleId="Footer">
    <w:name w:val="footer"/>
    <w:basedOn w:val="Normal"/>
    <w:link w:val="FooterChar"/>
    <w:uiPriority w:val="99"/>
    <w:unhideWhenUsed/>
    <w:rsid w:val="00630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C50"/>
  </w:style>
  <w:style w:type="paragraph" w:styleId="Revision">
    <w:name w:val="Revision"/>
    <w:hidden/>
    <w:uiPriority w:val="99"/>
    <w:semiHidden/>
    <w:rsid w:val="00964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1775</Words>
  <Characters>10119</Characters>
  <Application>Microsoft Office Word</Application>
  <DocSecurity>0</DocSecurity>
  <Lines>84</Lines>
  <Paragraphs>23</Paragraphs>
  <ScaleCrop>false</ScaleCrop>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Palfreyman</dc:creator>
  <cp:keywords/>
  <dc:description/>
  <cp:lastModifiedBy>Alexis Palfreyman</cp:lastModifiedBy>
  <cp:revision>21</cp:revision>
  <dcterms:created xsi:type="dcterms:W3CDTF">2022-03-17T11:15:00Z</dcterms:created>
  <dcterms:modified xsi:type="dcterms:W3CDTF">2022-09-24T12:16:00Z</dcterms:modified>
</cp:coreProperties>
</file>