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DA817" w14:textId="14714A9B" w:rsidR="000A0182" w:rsidRPr="00EB42C3" w:rsidRDefault="00EB42C3" w:rsidP="00643991">
      <w:pPr>
        <w:pStyle w:val="Heading1"/>
        <w:rPr>
          <w:rFonts w:asciiTheme="minorHAnsi" w:hAnsiTheme="minorHAnsi"/>
          <w:b w:val="0"/>
        </w:rPr>
      </w:pPr>
      <w:r>
        <w:rPr>
          <w:rFonts w:asciiTheme="minorHAnsi" w:hAnsiTheme="minorHAnsi"/>
          <w:b w:val="0"/>
        </w:rPr>
        <w:t>S1</w:t>
      </w:r>
      <w:r w:rsidR="001F3F37" w:rsidRPr="00F56B0D">
        <w:rPr>
          <w:rFonts w:asciiTheme="minorHAnsi" w:hAnsiTheme="minorHAnsi"/>
          <w:b w:val="0"/>
        </w:rPr>
        <w:t xml:space="preserve"> </w:t>
      </w:r>
      <w:r w:rsidR="000A0182" w:rsidRPr="00F56B0D">
        <w:rPr>
          <w:rFonts w:asciiTheme="minorHAnsi" w:hAnsiTheme="minorHAnsi"/>
          <w:b w:val="0"/>
        </w:rPr>
        <w:t>APPENDIX:</w:t>
      </w:r>
      <w:r w:rsidR="00643991" w:rsidRPr="00F56B0D">
        <w:rPr>
          <w:rFonts w:asciiTheme="minorHAnsi" w:hAnsiTheme="minorHAnsi"/>
          <w:b w:val="0"/>
        </w:rPr>
        <w:t xml:space="preserve"> </w:t>
      </w:r>
      <w:r w:rsidR="000A0182" w:rsidRPr="00F56B0D">
        <w:rPr>
          <w:rFonts w:asciiTheme="minorHAnsi" w:hAnsiTheme="minorHAnsi"/>
          <w:b w:val="0"/>
        </w:rPr>
        <w:t xml:space="preserve">Assessing the complex and evolving relationship between charges and payments in US hospitals: 1996 – 2012 </w:t>
      </w:r>
      <w:r>
        <w:rPr>
          <w:rFonts w:asciiTheme="minorHAnsi" w:hAnsiTheme="minorHAnsi"/>
          <w:b w:val="0"/>
        </w:rPr>
        <w:t xml:space="preserve">– </w:t>
      </w:r>
      <w:r>
        <w:rPr>
          <w:rFonts w:asciiTheme="minorHAnsi" w:hAnsiTheme="minorHAnsi"/>
          <w:b w:val="0"/>
          <w:i/>
        </w:rPr>
        <w:t>methods appendix</w:t>
      </w:r>
    </w:p>
    <w:p w14:paraId="3CD4C12A" w14:textId="36784558" w:rsidR="00F94A40" w:rsidRDefault="00F94A40">
      <w:r>
        <w:rPr>
          <w:b/>
          <w:bCs/>
        </w:rPr>
        <w:br w:type="page"/>
      </w:r>
    </w:p>
    <w:p w14:paraId="7526314E" w14:textId="5962E8E1" w:rsidR="001F3F37" w:rsidRPr="00F56B0D" w:rsidRDefault="001F3F37" w:rsidP="00795805">
      <w:pPr>
        <w:pStyle w:val="Heading1"/>
      </w:pPr>
      <w:r w:rsidRPr="00F56B0D">
        <w:lastRenderedPageBreak/>
        <w:t>Index</w:t>
      </w:r>
    </w:p>
    <w:p w14:paraId="553E7D8A" w14:textId="77777777" w:rsidR="001F3F37" w:rsidRPr="00F56B0D" w:rsidRDefault="001F3F37" w:rsidP="000A0182">
      <w:pPr>
        <w:spacing w:line="240" w:lineRule="auto"/>
      </w:pPr>
    </w:p>
    <w:p w14:paraId="428CE019" w14:textId="2C29C286" w:rsidR="001F3F37" w:rsidRPr="00F56B0D" w:rsidRDefault="001F3F37" w:rsidP="000A0182">
      <w:pPr>
        <w:spacing w:line="240" w:lineRule="auto"/>
      </w:pPr>
      <w:r w:rsidRPr="00F56B0D">
        <w:t>Introduction</w:t>
      </w:r>
      <w:r w:rsidRPr="00F56B0D">
        <w:tab/>
      </w:r>
      <w:r w:rsidRPr="00F56B0D">
        <w:tab/>
      </w:r>
      <w:r w:rsidRPr="00F56B0D">
        <w:tab/>
      </w:r>
      <w:r w:rsidRPr="00F56B0D">
        <w:tab/>
      </w:r>
      <w:r w:rsidRPr="00F56B0D">
        <w:tab/>
      </w:r>
      <w:r w:rsidRPr="00F56B0D">
        <w:tab/>
      </w:r>
      <w:r w:rsidRPr="00F56B0D">
        <w:tab/>
      </w:r>
      <w:r w:rsidRPr="00F56B0D">
        <w:tab/>
      </w:r>
      <w:r w:rsidRPr="00F56B0D">
        <w:tab/>
        <w:t>Page 3</w:t>
      </w:r>
    </w:p>
    <w:p w14:paraId="79F44C8D" w14:textId="48536CD7" w:rsidR="001F3F37" w:rsidRPr="00F56B0D" w:rsidRDefault="001F3F37" w:rsidP="000A0182">
      <w:pPr>
        <w:spacing w:line="240" w:lineRule="auto"/>
      </w:pPr>
      <w:r w:rsidRPr="00F56B0D">
        <w:t xml:space="preserve">Data </w:t>
      </w:r>
      <w:r w:rsidR="00795805">
        <w:t>and data pre-</w:t>
      </w:r>
      <w:r w:rsidRPr="00F56B0D">
        <w:t>processing</w:t>
      </w:r>
      <w:r w:rsidRPr="00F56B0D">
        <w:tab/>
      </w:r>
      <w:r w:rsidRPr="00F56B0D">
        <w:tab/>
      </w:r>
      <w:r w:rsidRPr="00F56B0D">
        <w:tab/>
      </w:r>
      <w:r w:rsidRPr="00F56B0D">
        <w:tab/>
      </w:r>
      <w:r w:rsidR="00795805">
        <w:tab/>
      </w:r>
      <w:r w:rsidR="00795805">
        <w:tab/>
      </w:r>
      <w:r w:rsidR="00795805">
        <w:tab/>
      </w:r>
      <w:r w:rsidRPr="00F56B0D">
        <w:t>Page 3</w:t>
      </w:r>
    </w:p>
    <w:p w14:paraId="5BC454FB" w14:textId="43F7CE23" w:rsidR="001F3F37" w:rsidRPr="00F56B0D" w:rsidRDefault="001F3F37" w:rsidP="000A0182">
      <w:pPr>
        <w:spacing w:line="240" w:lineRule="auto"/>
      </w:pPr>
      <w:r w:rsidRPr="00F56B0D">
        <w:t>Charges</w:t>
      </w:r>
      <w:r w:rsidR="00795805">
        <w:t>-to-p</w:t>
      </w:r>
      <w:r w:rsidRPr="00F56B0D">
        <w:t>ayment</w:t>
      </w:r>
      <w:r w:rsidR="00795805">
        <w:t>s regression</w:t>
      </w:r>
      <w:r w:rsidR="00795805">
        <w:tab/>
      </w:r>
      <w:r w:rsidR="00795805">
        <w:tab/>
      </w:r>
      <w:r w:rsidR="00795805">
        <w:tab/>
      </w:r>
      <w:r w:rsidR="00795805">
        <w:tab/>
      </w:r>
      <w:r w:rsidR="00795805">
        <w:tab/>
      </w:r>
      <w:r w:rsidR="00795805">
        <w:tab/>
      </w:r>
      <w:r w:rsidR="002D7BB3">
        <w:t xml:space="preserve">Page </w:t>
      </w:r>
      <w:r w:rsidR="005D1F00">
        <w:t>5</w:t>
      </w:r>
    </w:p>
    <w:p w14:paraId="71900945" w14:textId="7927977E" w:rsidR="001F3F37" w:rsidRPr="00F56B0D" w:rsidRDefault="00795805" w:rsidP="000A0182">
      <w:pPr>
        <w:spacing w:line="240" w:lineRule="auto"/>
      </w:pPr>
      <w:r w:rsidRPr="00795805">
        <w:t>Application of payment ratios to adjust NIS</w:t>
      </w:r>
      <w:r w:rsidR="001F3F37" w:rsidRPr="00F56B0D">
        <w:tab/>
      </w:r>
      <w:r w:rsidR="001F3F37" w:rsidRPr="00F56B0D">
        <w:tab/>
      </w:r>
      <w:r w:rsidR="001F3F37" w:rsidRPr="00F56B0D">
        <w:tab/>
      </w:r>
      <w:r w:rsidR="001F3F37" w:rsidRPr="00F56B0D">
        <w:tab/>
      </w:r>
      <w:r>
        <w:tab/>
        <w:t>Page 9</w:t>
      </w:r>
    </w:p>
    <w:p w14:paraId="6C8AFD06" w14:textId="0D91A99C" w:rsidR="001F3F37" w:rsidRPr="00F56B0D" w:rsidRDefault="001F3F37" w:rsidP="000A0182">
      <w:pPr>
        <w:spacing w:line="240" w:lineRule="auto"/>
        <w:rPr>
          <w:b/>
        </w:rPr>
      </w:pPr>
      <w:r w:rsidRPr="00F56B0D">
        <w:t>Sensitivity analyses</w:t>
      </w:r>
      <w:r w:rsidRPr="00F56B0D">
        <w:tab/>
      </w:r>
      <w:r w:rsidRPr="00F56B0D">
        <w:tab/>
      </w:r>
      <w:r w:rsidRPr="00F56B0D">
        <w:tab/>
      </w:r>
      <w:r w:rsidRPr="00F56B0D">
        <w:tab/>
      </w:r>
      <w:r w:rsidRPr="00F56B0D">
        <w:tab/>
      </w:r>
      <w:r w:rsidRPr="00F56B0D">
        <w:tab/>
      </w:r>
      <w:r w:rsidRPr="00F56B0D">
        <w:tab/>
      </w:r>
      <w:r w:rsidRPr="00F56B0D">
        <w:tab/>
      </w:r>
      <w:r w:rsidR="002D7BB3">
        <w:t xml:space="preserve">Page </w:t>
      </w:r>
      <w:r w:rsidR="00795805">
        <w:t>12</w:t>
      </w:r>
    </w:p>
    <w:p w14:paraId="2829FE01" w14:textId="77777777" w:rsidR="001F3F37" w:rsidRPr="00F56B0D" w:rsidRDefault="001F3F37" w:rsidP="000A0182">
      <w:pPr>
        <w:spacing w:line="240" w:lineRule="auto"/>
        <w:rPr>
          <w:rFonts w:eastAsiaTheme="majorEastAsia" w:cstheme="majorBidi"/>
          <w:b/>
          <w:bCs/>
          <w:color w:val="4F81BD" w:themeColor="accent1"/>
        </w:rPr>
      </w:pPr>
      <w:r w:rsidRPr="00F56B0D">
        <w:br w:type="page"/>
      </w:r>
    </w:p>
    <w:p w14:paraId="09EB7EE1" w14:textId="17C57BE0" w:rsidR="00843FDB" w:rsidRPr="00F56B0D" w:rsidRDefault="001F3F37" w:rsidP="00F56B0D">
      <w:pPr>
        <w:pStyle w:val="Heading1"/>
        <w:rPr>
          <w:rFonts w:ascii="Calibri Light" w:hAnsi="Calibri Light"/>
          <w:b w:val="0"/>
          <w:sz w:val="26"/>
          <w:szCs w:val="26"/>
        </w:rPr>
      </w:pPr>
      <w:r w:rsidRPr="00F56B0D">
        <w:rPr>
          <w:rFonts w:ascii="Calibri Light" w:hAnsi="Calibri Light"/>
          <w:b w:val="0"/>
          <w:sz w:val="26"/>
          <w:szCs w:val="26"/>
        </w:rPr>
        <w:lastRenderedPageBreak/>
        <w:t xml:space="preserve">Introduction </w:t>
      </w:r>
    </w:p>
    <w:p w14:paraId="2A6F4479" w14:textId="53A46A02" w:rsidR="00843FDB" w:rsidRPr="00F56B0D" w:rsidRDefault="005C4B81" w:rsidP="000A0182">
      <w:pPr>
        <w:spacing w:after="0" w:line="240" w:lineRule="auto"/>
        <w:rPr>
          <w:rFonts w:eastAsia="Times New Roman" w:cs="Times New Roman"/>
        </w:rPr>
      </w:pPr>
      <w:r w:rsidRPr="00F56B0D">
        <w:rPr>
          <w:rFonts w:eastAsia="Times New Roman" w:cs="Times New Roman"/>
        </w:rPr>
        <w:t>This appendix discusses the methodology used to estimate payment</w:t>
      </w:r>
      <w:r w:rsidR="00DF12DF" w:rsidRPr="00F56B0D">
        <w:rPr>
          <w:rFonts w:eastAsia="Times New Roman" w:cs="Times New Roman"/>
        </w:rPr>
        <w:t>-</w:t>
      </w:r>
      <w:r w:rsidRPr="00F56B0D">
        <w:rPr>
          <w:rFonts w:eastAsia="Times New Roman" w:cs="Times New Roman"/>
        </w:rPr>
        <w:t>to</w:t>
      </w:r>
      <w:r w:rsidR="00DF12DF" w:rsidRPr="00F56B0D">
        <w:rPr>
          <w:rFonts w:eastAsia="Times New Roman" w:cs="Times New Roman"/>
        </w:rPr>
        <w:t>-</w:t>
      </w:r>
      <w:r w:rsidRPr="00F56B0D">
        <w:rPr>
          <w:rFonts w:eastAsia="Times New Roman" w:cs="Times New Roman"/>
        </w:rPr>
        <w:t>charge ratios</w:t>
      </w:r>
      <w:r w:rsidR="00DF12DF" w:rsidRPr="00F56B0D">
        <w:rPr>
          <w:rFonts w:eastAsia="Times New Roman" w:cs="Times New Roman"/>
        </w:rPr>
        <w:t xml:space="preserve"> (payment ratios)</w:t>
      </w:r>
      <w:r w:rsidRPr="00F56B0D">
        <w:rPr>
          <w:rFonts w:eastAsia="Times New Roman" w:cs="Times New Roman"/>
        </w:rPr>
        <w:t xml:space="preserve"> </w:t>
      </w:r>
      <w:r w:rsidR="008D51EC" w:rsidRPr="00F56B0D">
        <w:rPr>
          <w:rFonts w:eastAsia="Times New Roman" w:cs="Times New Roman"/>
        </w:rPr>
        <w:t>i</w:t>
      </w:r>
      <w:r w:rsidRPr="00F56B0D">
        <w:rPr>
          <w:rFonts w:eastAsia="Times New Roman" w:cs="Times New Roman"/>
        </w:rPr>
        <w:t xml:space="preserve">n the inpatient setting, and then to apply these findings to adjust a dataset that reports charges only. </w:t>
      </w:r>
      <w:r w:rsidR="00CD6F7D" w:rsidRPr="00F56B0D">
        <w:rPr>
          <w:rFonts w:eastAsia="Times New Roman" w:cs="Times New Roman"/>
        </w:rPr>
        <w:t xml:space="preserve">The datasets used were </w:t>
      </w:r>
      <w:r w:rsidR="00A82067" w:rsidRPr="00F56B0D">
        <w:rPr>
          <w:rFonts w:eastAsia="Times New Roman" w:cs="Times New Roman"/>
        </w:rPr>
        <w:t xml:space="preserve">the </w:t>
      </w:r>
      <w:r w:rsidR="00A82067" w:rsidRPr="00F56B0D">
        <w:t>Medical Expenditure Panel Survey (</w:t>
      </w:r>
      <w:r w:rsidR="00CD6F7D" w:rsidRPr="00F56B0D">
        <w:rPr>
          <w:rFonts w:eastAsia="Times New Roman" w:cs="Times New Roman"/>
        </w:rPr>
        <w:t>MEPS</w:t>
      </w:r>
      <w:r w:rsidR="00A82067" w:rsidRPr="00F56B0D">
        <w:rPr>
          <w:rFonts w:eastAsia="Times New Roman" w:cs="Times New Roman"/>
        </w:rPr>
        <w:t>)</w:t>
      </w:r>
      <w:r w:rsidR="00CD6F7D" w:rsidRPr="00F56B0D">
        <w:rPr>
          <w:rFonts w:eastAsia="Times New Roman" w:cs="Times New Roman"/>
        </w:rPr>
        <w:t xml:space="preserve"> and </w:t>
      </w:r>
      <w:r w:rsidR="00A82067" w:rsidRPr="00F56B0D">
        <w:rPr>
          <w:rFonts w:eastAsia="Times New Roman" w:cs="Times New Roman"/>
        </w:rPr>
        <w:t xml:space="preserve">the </w:t>
      </w:r>
      <w:r w:rsidR="00A82067" w:rsidRPr="00F56B0D">
        <w:t>National Inpatient Sample</w:t>
      </w:r>
      <w:r w:rsidR="00A82067" w:rsidRPr="00F56B0D">
        <w:rPr>
          <w:rFonts w:eastAsia="Times New Roman" w:cs="Times New Roman"/>
        </w:rPr>
        <w:t xml:space="preserve"> (</w:t>
      </w:r>
      <w:r w:rsidR="00CD6F7D" w:rsidRPr="00F56B0D">
        <w:rPr>
          <w:rFonts w:eastAsia="Times New Roman" w:cs="Times New Roman"/>
        </w:rPr>
        <w:t>NIS</w:t>
      </w:r>
      <w:r w:rsidR="00A82067" w:rsidRPr="00F56B0D">
        <w:rPr>
          <w:rFonts w:eastAsia="Times New Roman" w:cs="Times New Roman"/>
        </w:rPr>
        <w:t>)</w:t>
      </w:r>
      <w:r w:rsidR="00CD6F7D" w:rsidRPr="00F56B0D">
        <w:rPr>
          <w:rFonts w:eastAsia="Times New Roman" w:cs="Times New Roman"/>
        </w:rPr>
        <w:t xml:space="preserve">. </w:t>
      </w:r>
      <w:r w:rsidR="00261E51" w:rsidRPr="00F56B0D">
        <w:rPr>
          <w:rFonts w:eastAsia="Times New Roman" w:cs="Times New Roman"/>
        </w:rPr>
        <w:t xml:space="preserve">Both datasets are produced by the Agency for Healthcare Research and Quality (AHRQ). </w:t>
      </w:r>
      <w:r w:rsidR="00CD6F7D" w:rsidRPr="00F56B0D">
        <w:rPr>
          <w:rFonts w:eastAsia="Times New Roman" w:cs="Times New Roman"/>
        </w:rPr>
        <w:t xml:space="preserve">Both datasets were cleaned and standardized to a common set of </w:t>
      </w:r>
      <w:r w:rsidR="00FA5376">
        <w:rPr>
          <w:rFonts w:eastAsia="Times New Roman" w:cs="Times New Roman"/>
        </w:rPr>
        <w:t>cause of healthcare encounter</w:t>
      </w:r>
      <w:r w:rsidR="00261E51" w:rsidRPr="00F56B0D">
        <w:rPr>
          <w:rFonts w:eastAsia="Times New Roman" w:cs="Times New Roman"/>
        </w:rPr>
        <w:t xml:space="preserve"> classification</w:t>
      </w:r>
      <w:r w:rsidR="00CD6F7D" w:rsidRPr="00F56B0D">
        <w:rPr>
          <w:rFonts w:eastAsia="Times New Roman" w:cs="Times New Roman"/>
        </w:rPr>
        <w:t>, demographic</w:t>
      </w:r>
      <w:r w:rsidR="007136C7" w:rsidRPr="00F56B0D">
        <w:rPr>
          <w:rFonts w:eastAsia="Times New Roman" w:cs="Times New Roman"/>
        </w:rPr>
        <w:t xml:space="preserve"> categories</w:t>
      </w:r>
      <w:r w:rsidR="00CD6F7D" w:rsidRPr="00F56B0D">
        <w:rPr>
          <w:rFonts w:eastAsia="Times New Roman" w:cs="Times New Roman"/>
        </w:rPr>
        <w:t>, and payer</w:t>
      </w:r>
      <w:r w:rsidR="00261E51" w:rsidRPr="00F56B0D">
        <w:rPr>
          <w:rFonts w:eastAsia="Times New Roman" w:cs="Times New Roman"/>
        </w:rPr>
        <w:t xml:space="preserve"> categories</w:t>
      </w:r>
      <w:r w:rsidR="00CD6F7D" w:rsidRPr="00F56B0D">
        <w:rPr>
          <w:rFonts w:eastAsia="Times New Roman" w:cs="Times New Roman"/>
        </w:rPr>
        <w:t>.</w:t>
      </w:r>
      <w:r w:rsidRPr="00F56B0D">
        <w:rPr>
          <w:rFonts w:eastAsia="Times New Roman" w:cs="Times New Roman"/>
        </w:rPr>
        <w:t xml:space="preserve"> </w:t>
      </w:r>
      <w:r w:rsidR="00261E51" w:rsidRPr="00F56B0D">
        <w:t xml:space="preserve">Due to relatively small sample size and the possibility of missing rare causes of </w:t>
      </w:r>
      <w:r w:rsidR="00FA5376">
        <w:t>healthcare encounters</w:t>
      </w:r>
      <w:r w:rsidR="00261E51" w:rsidRPr="00F56B0D">
        <w:t xml:space="preserve">, a </w:t>
      </w:r>
      <w:r w:rsidR="003B6EE9" w:rsidRPr="00F56B0D">
        <w:t xml:space="preserve">moving average approach was used for MEPS, such that data from each year was </w:t>
      </w:r>
      <w:r w:rsidR="00261E51" w:rsidRPr="00F56B0D">
        <w:t xml:space="preserve">added </w:t>
      </w:r>
      <w:r w:rsidR="003B6EE9" w:rsidRPr="00F56B0D">
        <w:t xml:space="preserve">to </w:t>
      </w:r>
      <w:r w:rsidR="00261E51" w:rsidRPr="00F56B0D">
        <w:t xml:space="preserve">the </w:t>
      </w:r>
      <w:r w:rsidR="003B6EE9" w:rsidRPr="00F56B0D">
        <w:t xml:space="preserve">annual estimates for that year </w:t>
      </w:r>
      <w:r w:rsidR="00920837" w:rsidRPr="00F56B0D">
        <w:t>as well as</w:t>
      </w:r>
      <w:r w:rsidR="003B6EE9" w:rsidRPr="00F56B0D">
        <w:t xml:space="preserve"> the adjacent year</w:t>
      </w:r>
      <w:r w:rsidR="00920837" w:rsidRPr="00F56B0D">
        <w:t>s</w:t>
      </w:r>
      <w:r w:rsidR="003B6EE9" w:rsidRPr="00F56B0D">
        <w:t xml:space="preserve"> before and after. </w:t>
      </w:r>
      <w:r w:rsidR="00261E51" w:rsidRPr="00F56B0D">
        <w:t>As a consequence</w:t>
      </w:r>
      <w:r w:rsidR="003B6EE9" w:rsidRPr="00F56B0D">
        <w:t xml:space="preserve">, </w:t>
      </w:r>
      <w:r w:rsidR="00261E51" w:rsidRPr="00F56B0D">
        <w:t xml:space="preserve">our </w:t>
      </w:r>
      <w:r w:rsidR="003B6EE9" w:rsidRPr="00F56B0D">
        <w:t>1997</w:t>
      </w:r>
      <w:r w:rsidR="00261E51" w:rsidRPr="00F56B0D">
        <w:t xml:space="preserve"> estimates</w:t>
      </w:r>
      <w:r w:rsidR="003B6EE9" w:rsidRPr="00F56B0D">
        <w:t xml:space="preserve"> </w:t>
      </w:r>
      <w:r w:rsidR="00261E51" w:rsidRPr="00F56B0D">
        <w:t>include data from</w:t>
      </w:r>
      <w:r w:rsidR="003B6EE9" w:rsidRPr="00F56B0D">
        <w:t xml:space="preserve"> 1996 and 1998</w:t>
      </w:r>
      <w:r w:rsidR="00261E51" w:rsidRPr="00F56B0D">
        <w:t xml:space="preserve">, and trends over time are measured to be </w:t>
      </w:r>
      <w:r w:rsidR="00BA42FB" w:rsidRPr="00F56B0D">
        <w:t>more gradual</w:t>
      </w:r>
      <w:r w:rsidR="003B6EE9" w:rsidRPr="00F56B0D">
        <w:t>. This approach is similar to what is recommended by the AHRQ and methods used by Dunn and colleagues at the US Bureau of Economic Analysis</w:t>
      </w:r>
      <w:r w:rsidR="00ED440A">
        <w:fldChar w:fldCharType="begin"/>
      </w:r>
      <w:r w:rsidR="00ED440A">
        <w:instrText xml:space="preserve"> ADDIN ZOTERO_ITEM CSL_CITATION {"citationID":"No3D9jqy","properties":{"formattedCitation":"[1]","plainCitation":"[1]"},"citationItems":[{"id":46134,"uris":["http://zotero.org/groups/21876/items/GES8JN7W"],"uri":["http://zotero.org/groups/21876/items/GES8JN7W"],"itemData":{"id":46134,"type":"article-journal","title":"An Examination of State Estimates Using Multiple Years of Data from the Medical Expenditure Panel Survey, Household Component","container-title":"Agency for Healthcare Research and Quality","volume":"Working Paper","issue":"No. 06004","URL":"http://meps.ahrq.gov/mepsweb/data_files/publications/workingpapers/wp_06004.pdf","author":[{"family":"Sommers","given":"John"}],"issued":{"date-parts":[["2006",5]]}}}],"schema":"https://github.com/citation-style-language/schema/raw/master/csl-citation.json"} </w:instrText>
      </w:r>
      <w:r w:rsidR="00ED440A">
        <w:fldChar w:fldCharType="separate"/>
      </w:r>
      <w:r w:rsidR="00E236E7">
        <w:t xml:space="preserve"> </w:t>
      </w:r>
      <w:r w:rsidR="00ED440A" w:rsidRPr="00ED440A">
        <w:rPr>
          <w:rFonts w:ascii="Calibri" w:hAnsi="Calibri"/>
        </w:rPr>
        <w:t>[1]</w:t>
      </w:r>
      <w:r w:rsidR="00ED440A">
        <w:fldChar w:fldCharType="end"/>
      </w:r>
      <w:r w:rsidR="00CD6F7D" w:rsidRPr="00F56B0D">
        <w:rPr>
          <w:rFonts w:eastAsia="Times New Roman" w:cs="Times New Roman"/>
        </w:rPr>
        <w:t xml:space="preserve">. </w:t>
      </w:r>
      <w:r w:rsidR="00BA42FB" w:rsidRPr="00F56B0D">
        <w:rPr>
          <w:rFonts w:eastAsia="Times New Roman" w:cs="Times New Roman"/>
        </w:rPr>
        <w:t xml:space="preserve">Both datasets </w:t>
      </w:r>
      <w:r w:rsidR="00C57160" w:rsidRPr="00F56B0D">
        <w:rPr>
          <w:rFonts w:eastAsia="Times New Roman" w:cs="Times New Roman"/>
        </w:rPr>
        <w:t>were</w:t>
      </w:r>
      <w:r w:rsidR="00CD6F7D" w:rsidRPr="00F56B0D">
        <w:rPr>
          <w:rFonts w:eastAsia="Times New Roman" w:cs="Times New Roman"/>
        </w:rPr>
        <w:t xml:space="preserve"> bootstrapped 1</w:t>
      </w:r>
      <w:r w:rsidR="00993165" w:rsidRPr="00F56B0D">
        <w:rPr>
          <w:rFonts w:eastAsia="Times New Roman" w:cs="Times New Roman"/>
        </w:rPr>
        <w:t>,</w:t>
      </w:r>
      <w:r w:rsidR="00CD6F7D" w:rsidRPr="00F56B0D">
        <w:rPr>
          <w:rFonts w:eastAsia="Times New Roman" w:cs="Times New Roman"/>
        </w:rPr>
        <w:t>000 times</w:t>
      </w:r>
      <w:r w:rsidR="00BA42FB" w:rsidRPr="00F56B0D">
        <w:rPr>
          <w:rFonts w:eastAsia="Times New Roman" w:cs="Times New Roman"/>
        </w:rPr>
        <w:t>, using random draws for each observation with replacement</w:t>
      </w:r>
      <w:r w:rsidR="00CD6F7D" w:rsidRPr="00F56B0D">
        <w:rPr>
          <w:rFonts w:eastAsia="Times New Roman" w:cs="Times New Roman"/>
        </w:rPr>
        <w:t>.</w:t>
      </w:r>
      <w:r w:rsidR="001F11E1" w:rsidRPr="00F56B0D">
        <w:rPr>
          <w:rFonts w:eastAsia="Times New Roman" w:cs="Times New Roman"/>
        </w:rPr>
        <w:t xml:space="preserve"> </w:t>
      </w:r>
      <w:r w:rsidR="00CD6F7D" w:rsidRPr="00F56B0D">
        <w:rPr>
          <w:rFonts w:eastAsia="Times New Roman" w:cs="Times New Roman"/>
        </w:rPr>
        <w:t xml:space="preserve">The </w:t>
      </w:r>
      <w:r w:rsidR="00BA42FB" w:rsidRPr="00F56B0D">
        <w:rPr>
          <w:rFonts w:eastAsia="Times New Roman" w:cs="Times New Roman"/>
        </w:rPr>
        <w:t xml:space="preserve">payment </w:t>
      </w:r>
      <w:r w:rsidR="00CD6F7D" w:rsidRPr="00F56B0D">
        <w:rPr>
          <w:rFonts w:eastAsia="Times New Roman" w:cs="Times New Roman"/>
        </w:rPr>
        <w:t>ratio was calculated</w:t>
      </w:r>
      <w:r w:rsidR="00952481" w:rsidRPr="00F56B0D">
        <w:rPr>
          <w:rFonts w:eastAsia="Times New Roman" w:cs="Times New Roman"/>
        </w:rPr>
        <w:t xml:space="preserve"> for each patient</w:t>
      </w:r>
      <w:r w:rsidR="00BA42FB" w:rsidRPr="00F56B0D">
        <w:rPr>
          <w:rFonts w:eastAsia="Times New Roman" w:cs="Times New Roman"/>
        </w:rPr>
        <w:t>. Cause</w:t>
      </w:r>
      <w:r w:rsidR="000A4C8F" w:rsidRPr="00F56B0D">
        <w:rPr>
          <w:rFonts w:eastAsia="Times New Roman" w:cs="Times New Roman"/>
        </w:rPr>
        <w:t>-</w:t>
      </w:r>
      <w:r w:rsidR="00BA42FB" w:rsidRPr="00F56B0D">
        <w:rPr>
          <w:rFonts w:eastAsia="Times New Roman" w:cs="Times New Roman"/>
        </w:rPr>
        <w:t>specific regression</w:t>
      </w:r>
      <w:r w:rsidR="00053CC5">
        <w:rPr>
          <w:rFonts w:eastAsia="Times New Roman" w:cs="Times New Roman"/>
        </w:rPr>
        <w:t>s</w:t>
      </w:r>
      <w:r w:rsidR="00BA42FB" w:rsidRPr="00F56B0D">
        <w:rPr>
          <w:rFonts w:eastAsia="Times New Roman" w:cs="Times New Roman"/>
        </w:rPr>
        <w:t xml:space="preserve"> were used to estimate time trends and payment ratios by payer and cause </w:t>
      </w:r>
      <w:r w:rsidR="00CD6F7D" w:rsidRPr="00F56B0D">
        <w:rPr>
          <w:rFonts w:eastAsia="Times New Roman" w:cs="Times New Roman"/>
        </w:rPr>
        <w:t>for each of the 1</w:t>
      </w:r>
      <w:r w:rsidR="00920837" w:rsidRPr="00F56B0D">
        <w:rPr>
          <w:rFonts w:eastAsia="Times New Roman" w:cs="Times New Roman"/>
        </w:rPr>
        <w:t>,</w:t>
      </w:r>
      <w:r w:rsidR="00CD6F7D" w:rsidRPr="00F56B0D">
        <w:rPr>
          <w:rFonts w:eastAsia="Times New Roman" w:cs="Times New Roman"/>
        </w:rPr>
        <w:t xml:space="preserve">000 </w:t>
      </w:r>
      <w:r w:rsidR="00BA42FB" w:rsidRPr="00F56B0D">
        <w:rPr>
          <w:rFonts w:eastAsia="Times New Roman" w:cs="Times New Roman"/>
        </w:rPr>
        <w:t xml:space="preserve">bootstrap </w:t>
      </w:r>
      <w:r w:rsidR="00CD6F7D" w:rsidRPr="00F56B0D">
        <w:rPr>
          <w:rFonts w:eastAsia="Times New Roman" w:cs="Times New Roman"/>
        </w:rPr>
        <w:t xml:space="preserve">draws. These </w:t>
      </w:r>
      <w:r w:rsidR="00BD55E6" w:rsidRPr="00F56B0D">
        <w:rPr>
          <w:rFonts w:eastAsia="Times New Roman" w:cs="Times New Roman"/>
        </w:rPr>
        <w:t xml:space="preserve">estimated payment </w:t>
      </w:r>
      <w:r w:rsidR="00CD6F7D" w:rsidRPr="00F56B0D">
        <w:rPr>
          <w:rFonts w:eastAsia="Times New Roman" w:cs="Times New Roman"/>
        </w:rPr>
        <w:t>ratios are reported in the results</w:t>
      </w:r>
      <w:r w:rsidR="00BA42FB" w:rsidRPr="00F56B0D">
        <w:rPr>
          <w:rFonts w:eastAsia="Times New Roman" w:cs="Times New Roman"/>
        </w:rPr>
        <w:t xml:space="preserve"> section of the main text</w:t>
      </w:r>
      <w:r w:rsidR="00CD6F7D" w:rsidRPr="00F56B0D">
        <w:rPr>
          <w:rFonts w:eastAsia="Times New Roman" w:cs="Times New Roman"/>
        </w:rPr>
        <w:t xml:space="preserve">. </w:t>
      </w:r>
      <w:r w:rsidR="00BA42FB" w:rsidRPr="00F56B0D">
        <w:rPr>
          <w:rFonts w:eastAsia="Times New Roman" w:cs="Times New Roman"/>
        </w:rPr>
        <w:t>A</w:t>
      </w:r>
      <w:r w:rsidR="00CD6F7D" w:rsidRPr="00F56B0D">
        <w:rPr>
          <w:rFonts w:eastAsia="Times New Roman" w:cs="Times New Roman"/>
        </w:rPr>
        <w:t xml:space="preserve"> similar regression was performed to </w:t>
      </w:r>
      <w:r w:rsidR="00BD55E6" w:rsidRPr="00F56B0D">
        <w:rPr>
          <w:rFonts w:eastAsia="Times New Roman" w:cs="Times New Roman"/>
        </w:rPr>
        <w:t xml:space="preserve">generate </w:t>
      </w:r>
      <w:r w:rsidR="00CD6F7D" w:rsidRPr="00F56B0D">
        <w:rPr>
          <w:rFonts w:eastAsia="Times New Roman" w:cs="Times New Roman"/>
        </w:rPr>
        <w:t>cause</w:t>
      </w:r>
      <w:r w:rsidR="00487D8D" w:rsidRPr="00F56B0D">
        <w:rPr>
          <w:rFonts w:eastAsia="Times New Roman" w:cs="Times New Roman"/>
        </w:rPr>
        <w:t>-</w:t>
      </w:r>
      <w:r w:rsidR="00CD6F7D" w:rsidRPr="00F56B0D">
        <w:rPr>
          <w:rFonts w:eastAsia="Times New Roman" w:cs="Times New Roman"/>
        </w:rPr>
        <w:t xml:space="preserve"> and </w:t>
      </w:r>
      <w:r w:rsidR="00487D8D" w:rsidRPr="00F56B0D">
        <w:rPr>
          <w:rFonts w:eastAsia="Times New Roman" w:cs="Times New Roman"/>
        </w:rPr>
        <w:t>year-</w:t>
      </w:r>
      <w:r w:rsidR="00CD6F7D" w:rsidRPr="00F56B0D">
        <w:rPr>
          <w:rFonts w:eastAsia="Times New Roman" w:cs="Times New Roman"/>
        </w:rPr>
        <w:t xml:space="preserve">specific ratios of facility charges </w:t>
      </w:r>
      <w:r w:rsidR="00601870" w:rsidRPr="00F56B0D">
        <w:rPr>
          <w:rFonts w:eastAsia="Times New Roman" w:cs="Times New Roman"/>
        </w:rPr>
        <w:t xml:space="preserve">over </w:t>
      </w:r>
      <w:r w:rsidR="00CD6F7D" w:rsidRPr="00F56B0D">
        <w:rPr>
          <w:rFonts w:eastAsia="Times New Roman" w:cs="Times New Roman"/>
        </w:rPr>
        <w:t xml:space="preserve">total charges. The resulting </w:t>
      </w:r>
      <w:r w:rsidR="00BD55E6" w:rsidRPr="00F56B0D">
        <w:rPr>
          <w:rFonts w:eastAsia="Times New Roman" w:cs="Times New Roman"/>
        </w:rPr>
        <w:t xml:space="preserve">facility </w:t>
      </w:r>
      <w:r w:rsidR="00CD6F7D" w:rsidRPr="00F56B0D">
        <w:rPr>
          <w:rFonts w:eastAsia="Times New Roman" w:cs="Times New Roman"/>
        </w:rPr>
        <w:t xml:space="preserve">ratios were multiplied together </w:t>
      </w:r>
      <w:r w:rsidR="00C57160" w:rsidRPr="00F56B0D">
        <w:rPr>
          <w:rFonts w:eastAsia="Times New Roman" w:cs="Times New Roman"/>
        </w:rPr>
        <w:t xml:space="preserve">with the </w:t>
      </w:r>
      <w:r w:rsidR="00601870" w:rsidRPr="00F56B0D">
        <w:rPr>
          <w:rFonts w:eastAsia="Times New Roman" w:cs="Times New Roman"/>
        </w:rPr>
        <w:t>payment</w:t>
      </w:r>
      <w:r w:rsidR="00DC5830" w:rsidRPr="00F56B0D">
        <w:rPr>
          <w:rFonts w:eastAsia="Times New Roman" w:cs="Times New Roman"/>
        </w:rPr>
        <w:t xml:space="preserve"> </w:t>
      </w:r>
      <w:r w:rsidR="00CD6F7D" w:rsidRPr="00F56B0D">
        <w:rPr>
          <w:rFonts w:eastAsia="Times New Roman" w:cs="Times New Roman"/>
        </w:rPr>
        <w:t xml:space="preserve">ratios to </w:t>
      </w:r>
      <w:r w:rsidR="00BA42FB" w:rsidRPr="00F56B0D">
        <w:rPr>
          <w:rFonts w:eastAsia="Times New Roman" w:cs="Times New Roman"/>
        </w:rPr>
        <w:t xml:space="preserve">adjust </w:t>
      </w:r>
      <w:r w:rsidR="00CD6F7D" w:rsidRPr="00F56B0D">
        <w:rPr>
          <w:rFonts w:eastAsia="Times New Roman" w:cs="Times New Roman"/>
        </w:rPr>
        <w:t>facility</w:t>
      </w:r>
      <w:r w:rsidR="00BA42FB" w:rsidRPr="00F56B0D">
        <w:rPr>
          <w:rFonts w:eastAsia="Times New Roman" w:cs="Times New Roman"/>
        </w:rPr>
        <w:t xml:space="preserve"> </w:t>
      </w:r>
      <w:r w:rsidR="00CD6F7D" w:rsidRPr="00F56B0D">
        <w:rPr>
          <w:rFonts w:eastAsia="Times New Roman" w:cs="Times New Roman"/>
        </w:rPr>
        <w:t>charge</w:t>
      </w:r>
      <w:r w:rsidR="00BA42FB" w:rsidRPr="00F56B0D">
        <w:rPr>
          <w:rFonts w:eastAsia="Times New Roman" w:cs="Times New Roman"/>
        </w:rPr>
        <w:t>s reported in NIS</w:t>
      </w:r>
      <w:r w:rsidR="00CD6F7D" w:rsidRPr="00F56B0D">
        <w:rPr>
          <w:rFonts w:eastAsia="Times New Roman" w:cs="Times New Roman"/>
        </w:rPr>
        <w:t xml:space="preserve"> to </w:t>
      </w:r>
      <w:r w:rsidR="00BA42FB" w:rsidRPr="00F56B0D">
        <w:rPr>
          <w:rFonts w:eastAsia="Times New Roman" w:cs="Times New Roman"/>
        </w:rPr>
        <w:t xml:space="preserve">reflect </w:t>
      </w:r>
      <w:r w:rsidR="00CD6F7D" w:rsidRPr="00F56B0D">
        <w:rPr>
          <w:rFonts w:eastAsia="Times New Roman" w:cs="Times New Roman"/>
        </w:rPr>
        <w:t>total</w:t>
      </w:r>
      <w:r w:rsidR="00BA42FB" w:rsidRPr="00F56B0D">
        <w:rPr>
          <w:rFonts w:eastAsia="Times New Roman" w:cs="Times New Roman"/>
        </w:rPr>
        <w:t xml:space="preserve"> </w:t>
      </w:r>
      <w:r w:rsidR="00CD6F7D" w:rsidRPr="00F56B0D">
        <w:rPr>
          <w:rFonts w:eastAsia="Times New Roman" w:cs="Times New Roman"/>
        </w:rPr>
        <w:t xml:space="preserve">payments. </w:t>
      </w:r>
      <w:r w:rsidR="00BA42FB" w:rsidRPr="00F56B0D">
        <w:rPr>
          <w:rFonts w:eastAsia="Times New Roman" w:cs="Times New Roman"/>
        </w:rPr>
        <w:t>Our primary results are the mean of the 1,000 bootstrap estimates. A</w:t>
      </w:r>
      <w:r w:rsidR="00AC7843" w:rsidRPr="00F56B0D">
        <w:rPr>
          <w:rFonts w:eastAsia="Times New Roman" w:cs="Times New Roman"/>
        </w:rPr>
        <w:t xml:space="preserve"> 95% </w:t>
      </w:r>
      <w:r w:rsidR="00CF2066" w:rsidRPr="00F56B0D">
        <w:rPr>
          <w:rFonts w:eastAsia="Times New Roman" w:cs="Times New Roman"/>
        </w:rPr>
        <w:t>uncertainty</w:t>
      </w:r>
      <w:r w:rsidR="00AC7843" w:rsidRPr="00F56B0D">
        <w:rPr>
          <w:rFonts w:eastAsia="Times New Roman" w:cs="Times New Roman"/>
        </w:rPr>
        <w:t xml:space="preserve"> interval</w:t>
      </w:r>
      <w:r w:rsidR="00BA42FB" w:rsidRPr="00F56B0D">
        <w:rPr>
          <w:rFonts w:eastAsia="Times New Roman" w:cs="Times New Roman"/>
        </w:rPr>
        <w:t xml:space="preserve"> was </w:t>
      </w:r>
      <w:r w:rsidR="001F11E1" w:rsidRPr="00F56B0D">
        <w:rPr>
          <w:rFonts w:eastAsia="Times New Roman" w:cs="Times New Roman"/>
        </w:rPr>
        <w:t>calculated</w:t>
      </w:r>
      <w:r w:rsidR="00DA0078" w:rsidRPr="00F56B0D">
        <w:rPr>
          <w:rFonts w:eastAsia="Times New Roman" w:cs="Times New Roman"/>
        </w:rPr>
        <w:t xml:space="preserve"> </w:t>
      </w:r>
      <w:r w:rsidR="00BA42FB" w:rsidRPr="00F56B0D">
        <w:rPr>
          <w:rFonts w:eastAsia="Times New Roman" w:cs="Times New Roman"/>
        </w:rPr>
        <w:t>by assessing</w:t>
      </w:r>
      <w:r w:rsidR="00DA0078" w:rsidRPr="00F56B0D">
        <w:rPr>
          <w:rFonts w:eastAsia="Times New Roman" w:cs="Times New Roman"/>
        </w:rPr>
        <w:t xml:space="preserve"> the 2.5</w:t>
      </w:r>
      <w:r w:rsidR="00DA0078" w:rsidRPr="00F56B0D">
        <w:rPr>
          <w:rFonts w:eastAsia="Times New Roman" w:cs="Times New Roman"/>
          <w:vertAlign w:val="superscript"/>
        </w:rPr>
        <w:t>th</w:t>
      </w:r>
      <w:r w:rsidR="00DA0078" w:rsidRPr="00F56B0D">
        <w:rPr>
          <w:rFonts w:eastAsia="Times New Roman" w:cs="Times New Roman"/>
        </w:rPr>
        <w:t xml:space="preserve"> and 97.5</w:t>
      </w:r>
      <w:r w:rsidR="00DA0078" w:rsidRPr="00F56B0D">
        <w:rPr>
          <w:rFonts w:eastAsia="Times New Roman" w:cs="Times New Roman"/>
          <w:vertAlign w:val="superscript"/>
        </w:rPr>
        <w:t>th</w:t>
      </w:r>
      <w:r w:rsidR="00DA0078" w:rsidRPr="00F56B0D">
        <w:rPr>
          <w:rFonts w:eastAsia="Times New Roman" w:cs="Times New Roman"/>
        </w:rPr>
        <w:t xml:space="preserve"> percentile</w:t>
      </w:r>
      <w:r w:rsidR="00591E88" w:rsidRPr="00F56B0D">
        <w:rPr>
          <w:rFonts w:eastAsia="Times New Roman" w:cs="Times New Roman"/>
        </w:rPr>
        <w:t>s</w:t>
      </w:r>
      <w:r w:rsidR="00DA0078" w:rsidRPr="00F56B0D">
        <w:rPr>
          <w:rFonts w:eastAsia="Times New Roman" w:cs="Times New Roman"/>
        </w:rPr>
        <w:t xml:space="preserve"> of the 1</w:t>
      </w:r>
      <w:r w:rsidR="00856AB3" w:rsidRPr="00F56B0D">
        <w:rPr>
          <w:rFonts w:eastAsia="Times New Roman" w:cs="Times New Roman"/>
        </w:rPr>
        <w:t>,</w:t>
      </w:r>
      <w:r w:rsidR="00DA0078" w:rsidRPr="00F56B0D">
        <w:rPr>
          <w:rFonts w:eastAsia="Times New Roman" w:cs="Times New Roman"/>
        </w:rPr>
        <w:t>000 bootstrap draws.</w:t>
      </w:r>
    </w:p>
    <w:p w14:paraId="09A29B6B" w14:textId="77777777" w:rsidR="00CD6F7D" w:rsidRPr="00F56B0D" w:rsidRDefault="00CD6F7D" w:rsidP="000A0182">
      <w:pPr>
        <w:spacing w:after="0" w:line="240" w:lineRule="auto"/>
        <w:rPr>
          <w:rFonts w:eastAsia="Times New Roman" w:cs="Times New Roman"/>
        </w:rPr>
      </w:pPr>
    </w:p>
    <w:p w14:paraId="7CBDADC8" w14:textId="7756936C" w:rsidR="00843FDB" w:rsidRPr="00F56B0D" w:rsidRDefault="00843FDB" w:rsidP="00F56B0D">
      <w:pPr>
        <w:pStyle w:val="Heading1"/>
        <w:rPr>
          <w:rFonts w:ascii="Calibri Light" w:hAnsi="Calibri Light"/>
          <w:b w:val="0"/>
          <w:sz w:val="26"/>
          <w:szCs w:val="26"/>
        </w:rPr>
      </w:pPr>
      <w:r w:rsidRPr="00F56B0D">
        <w:rPr>
          <w:rFonts w:ascii="Calibri Light" w:hAnsi="Calibri Light"/>
          <w:b w:val="0"/>
          <w:sz w:val="26"/>
          <w:szCs w:val="26"/>
        </w:rPr>
        <w:t xml:space="preserve">Data </w:t>
      </w:r>
      <w:r w:rsidR="00D95947">
        <w:rPr>
          <w:rFonts w:ascii="Calibri Light" w:hAnsi="Calibri Light"/>
          <w:b w:val="0"/>
          <w:sz w:val="26"/>
          <w:szCs w:val="26"/>
        </w:rPr>
        <w:t>and data pre-</w:t>
      </w:r>
      <w:r w:rsidRPr="00F56B0D">
        <w:rPr>
          <w:rFonts w:ascii="Calibri Light" w:hAnsi="Calibri Light"/>
          <w:b w:val="0"/>
          <w:sz w:val="26"/>
          <w:szCs w:val="26"/>
        </w:rPr>
        <w:t>processing</w:t>
      </w:r>
    </w:p>
    <w:p w14:paraId="006EF9E3" w14:textId="604A05A6" w:rsidR="00B3019D" w:rsidRDefault="00843FDB" w:rsidP="000A0182">
      <w:pPr>
        <w:spacing w:after="0" w:line="240" w:lineRule="auto"/>
        <w:rPr>
          <w:rFonts w:eastAsia="Times New Roman" w:cs="Times New Roman"/>
          <w:color w:val="000000"/>
        </w:rPr>
      </w:pPr>
      <w:r w:rsidRPr="00F56B0D">
        <w:rPr>
          <w:rFonts w:eastAsia="Times New Roman" w:cs="Times New Roman"/>
          <w:color w:val="000000"/>
        </w:rPr>
        <w:t xml:space="preserve">Both </w:t>
      </w:r>
      <w:r w:rsidR="00A82067" w:rsidRPr="00F56B0D">
        <w:rPr>
          <w:rFonts w:eastAsia="Times New Roman" w:cs="Times New Roman"/>
          <w:color w:val="000000"/>
        </w:rPr>
        <w:t>MEPS</w:t>
      </w:r>
      <w:r w:rsidRPr="00F56B0D">
        <w:rPr>
          <w:rFonts w:eastAsia="Times New Roman" w:cs="Times New Roman"/>
          <w:color w:val="000000"/>
        </w:rPr>
        <w:t xml:space="preserve"> and NIS were processed </w:t>
      </w:r>
      <w:r w:rsidR="00E87B09" w:rsidRPr="00F56B0D">
        <w:rPr>
          <w:rFonts w:eastAsia="Times New Roman" w:cs="Times New Roman"/>
          <w:color w:val="000000"/>
        </w:rPr>
        <w:t>before running the analysis</w:t>
      </w:r>
      <w:r w:rsidRPr="00F56B0D">
        <w:rPr>
          <w:rFonts w:eastAsia="Times New Roman" w:cs="Times New Roman"/>
          <w:color w:val="000000"/>
        </w:rPr>
        <w:t xml:space="preserve">. </w:t>
      </w:r>
      <w:r w:rsidR="0015147E" w:rsidRPr="00F56B0D">
        <w:t>International Classification of Disease version 9 (</w:t>
      </w:r>
      <w:r w:rsidRPr="00F56B0D">
        <w:rPr>
          <w:rFonts w:eastAsia="Times New Roman" w:cs="Times New Roman"/>
          <w:color w:val="000000"/>
        </w:rPr>
        <w:t>ICD</w:t>
      </w:r>
      <w:r w:rsidR="0015147E" w:rsidRPr="00F56B0D">
        <w:rPr>
          <w:rFonts w:eastAsia="Times New Roman" w:cs="Times New Roman"/>
          <w:color w:val="000000"/>
        </w:rPr>
        <w:t>-</w:t>
      </w:r>
      <w:r w:rsidRPr="00F56B0D">
        <w:rPr>
          <w:rFonts w:eastAsia="Times New Roman" w:cs="Times New Roman"/>
          <w:color w:val="000000"/>
        </w:rPr>
        <w:t>9</w:t>
      </w:r>
      <w:r w:rsidR="0015147E" w:rsidRPr="00F56B0D">
        <w:rPr>
          <w:rFonts w:eastAsia="Times New Roman" w:cs="Times New Roman"/>
          <w:color w:val="000000"/>
        </w:rPr>
        <w:t xml:space="preserve">) </w:t>
      </w:r>
      <w:r w:rsidRPr="00F56B0D">
        <w:rPr>
          <w:rFonts w:eastAsia="Times New Roman" w:cs="Times New Roman"/>
          <w:color w:val="000000"/>
        </w:rPr>
        <w:t xml:space="preserve">codes, facility charges, facility payments, doctor charges, doctor payments, age, sex, year, </w:t>
      </w:r>
      <w:r w:rsidR="008D2EB4" w:rsidRPr="00F56B0D">
        <w:rPr>
          <w:rFonts w:eastAsia="Times New Roman" w:cs="Times New Roman"/>
          <w:color w:val="000000"/>
        </w:rPr>
        <w:t xml:space="preserve">and </w:t>
      </w:r>
      <w:r w:rsidRPr="00F56B0D">
        <w:rPr>
          <w:rFonts w:eastAsia="Times New Roman" w:cs="Times New Roman"/>
          <w:color w:val="000000"/>
        </w:rPr>
        <w:t>patient weights</w:t>
      </w:r>
      <w:r w:rsidR="005C4B81" w:rsidRPr="00F56B0D">
        <w:rPr>
          <w:rFonts w:eastAsia="Times New Roman" w:cs="Times New Roman"/>
          <w:color w:val="000000"/>
        </w:rPr>
        <w:t xml:space="preserve"> </w:t>
      </w:r>
      <w:r w:rsidRPr="00F56B0D">
        <w:rPr>
          <w:rFonts w:eastAsia="Times New Roman" w:cs="Times New Roman"/>
          <w:color w:val="000000"/>
        </w:rPr>
        <w:t xml:space="preserve">were pulled from </w:t>
      </w:r>
      <w:r w:rsidR="00A82067" w:rsidRPr="00F56B0D">
        <w:rPr>
          <w:rFonts w:eastAsia="Times New Roman" w:cs="Times New Roman"/>
          <w:color w:val="000000"/>
        </w:rPr>
        <w:t>MEPS</w:t>
      </w:r>
      <w:r w:rsidR="004A588B" w:rsidRPr="00F56B0D">
        <w:rPr>
          <w:rFonts w:eastAsia="Times New Roman" w:cs="Times New Roman"/>
          <w:color w:val="000000"/>
        </w:rPr>
        <w:t xml:space="preserve"> inpatient files from 1996-2012</w:t>
      </w:r>
      <w:r w:rsidRPr="00F56B0D">
        <w:rPr>
          <w:rFonts w:eastAsia="Times New Roman" w:cs="Times New Roman"/>
          <w:color w:val="000000"/>
        </w:rPr>
        <w:t>.</w:t>
      </w:r>
      <w:r w:rsidR="008D2EB4" w:rsidRPr="00F56B0D">
        <w:rPr>
          <w:rFonts w:eastAsia="Times New Roman" w:cs="Times New Roman"/>
          <w:color w:val="000000"/>
        </w:rPr>
        <w:t xml:space="preserve"> </w:t>
      </w:r>
      <w:r w:rsidR="0015147E" w:rsidRPr="00F56B0D">
        <w:rPr>
          <w:rFonts w:eastAsia="Times New Roman" w:cs="Times New Roman"/>
          <w:color w:val="000000"/>
        </w:rPr>
        <w:t>ICD-9 codes</w:t>
      </w:r>
      <w:r w:rsidRPr="00F56B0D">
        <w:rPr>
          <w:rFonts w:eastAsia="Times New Roman" w:cs="Times New Roman"/>
          <w:color w:val="000000"/>
        </w:rPr>
        <w:t xml:space="preserve">, facility charges, age, sex, year, </w:t>
      </w:r>
      <w:r w:rsidR="008D2EB4" w:rsidRPr="00F56B0D">
        <w:rPr>
          <w:rFonts w:eastAsia="Times New Roman" w:cs="Times New Roman"/>
          <w:color w:val="000000"/>
        </w:rPr>
        <w:t xml:space="preserve">and </w:t>
      </w:r>
      <w:r w:rsidRPr="00F56B0D">
        <w:rPr>
          <w:rFonts w:eastAsia="Times New Roman" w:cs="Times New Roman"/>
          <w:color w:val="000000"/>
        </w:rPr>
        <w:t>patient weights</w:t>
      </w:r>
      <w:r w:rsidR="005C4B81" w:rsidRPr="00F56B0D">
        <w:rPr>
          <w:rFonts w:eastAsia="Times New Roman" w:cs="Times New Roman"/>
          <w:color w:val="000000"/>
        </w:rPr>
        <w:t xml:space="preserve"> </w:t>
      </w:r>
      <w:r w:rsidR="00D95947">
        <w:rPr>
          <w:rFonts w:eastAsia="Times New Roman" w:cs="Times New Roman"/>
          <w:color w:val="000000"/>
        </w:rPr>
        <w:t xml:space="preserve">from </w:t>
      </w:r>
      <w:r w:rsidR="00D95947" w:rsidRPr="00F56B0D">
        <w:rPr>
          <w:rFonts w:eastAsia="Times New Roman" w:cs="Times New Roman"/>
          <w:color w:val="000000"/>
        </w:rPr>
        <w:t>1996-2012</w:t>
      </w:r>
      <w:r w:rsidR="00D95947">
        <w:rPr>
          <w:rFonts w:eastAsia="Times New Roman" w:cs="Times New Roman"/>
          <w:color w:val="000000"/>
        </w:rPr>
        <w:t xml:space="preserve"> </w:t>
      </w:r>
      <w:r w:rsidRPr="00F56B0D">
        <w:rPr>
          <w:rFonts w:eastAsia="Times New Roman" w:cs="Times New Roman"/>
          <w:color w:val="000000"/>
        </w:rPr>
        <w:t xml:space="preserve">were collected from NIS as well. The two </w:t>
      </w:r>
      <w:r w:rsidR="00856AB3" w:rsidRPr="00F56B0D">
        <w:rPr>
          <w:rFonts w:eastAsia="Times New Roman" w:cs="Times New Roman"/>
          <w:color w:val="000000"/>
        </w:rPr>
        <w:t>dataset</w:t>
      </w:r>
      <w:r w:rsidRPr="00F56B0D">
        <w:rPr>
          <w:rFonts w:eastAsia="Times New Roman" w:cs="Times New Roman"/>
          <w:color w:val="000000"/>
        </w:rPr>
        <w:t xml:space="preserve">s were processed similarly. </w:t>
      </w:r>
    </w:p>
    <w:p w14:paraId="76CB4567" w14:textId="77777777" w:rsidR="00B3019D" w:rsidRDefault="00B3019D" w:rsidP="000A0182">
      <w:pPr>
        <w:spacing w:after="0" w:line="240" w:lineRule="auto"/>
        <w:rPr>
          <w:rFonts w:eastAsia="Times New Roman" w:cs="Times New Roman"/>
          <w:color w:val="000000"/>
        </w:rPr>
      </w:pPr>
    </w:p>
    <w:p w14:paraId="063C836A" w14:textId="77777777" w:rsidR="00B3019D" w:rsidRDefault="00B3019D" w:rsidP="00323B5C">
      <w:pPr>
        <w:pStyle w:val="Heading3"/>
      </w:pPr>
      <w:r>
        <w:t>Ages</w:t>
      </w:r>
    </w:p>
    <w:p w14:paraId="6F326BA3" w14:textId="5A8A2903" w:rsidR="00B3019D" w:rsidRDefault="009A0A7A" w:rsidP="000A0182">
      <w:pPr>
        <w:spacing w:after="0" w:line="240" w:lineRule="auto"/>
        <w:rPr>
          <w:rFonts w:eastAsia="Times New Roman" w:cs="Times New Roman"/>
          <w:color w:val="000000"/>
        </w:rPr>
      </w:pPr>
      <w:r w:rsidRPr="00F56B0D">
        <w:rPr>
          <w:rFonts w:eastAsia="Times New Roman" w:cs="Times New Roman"/>
          <w:color w:val="000000"/>
        </w:rPr>
        <w:t xml:space="preserve">Patients </w:t>
      </w:r>
      <w:r w:rsidR="00843FDB" w:rsidRPr="00F56B0D">
        <w:rPr>
          <w:rFonts w:eastAsia="Times New Roman" w:cs="Times New Roman"/>
          <w:color w:val="000000"/>
        </w:rPr>
        <w:t xml:space="preserve">were </w:t>
      </w:r>
      <w:r w:rsidRPr="00F56B0D">
        <w:rPr>
          <w:rFonts w:eastAsia="Times New Roman" w:cs="Times New Roman"/>
          <w:color w:val="000000"/>
        </w:rPr>
        <w:t>placed in five-year age bins starting from five year olds and extending to an open category of those older than 85 years.  The 0-4 year old age group was split into a 0-1 bin and a 1-4 bin because of unique inpatient healthcare provided during the first year of life</w:t>
      </w:r>
      <w:r w:rsidR="00843FDB" w:rsidRPr="00F56B0D">
        <w:rPr>
          <w:rFonts w:eastAsia="Times New Roman" w:cs="Times New Roman"/>
          <w:color w:val="000000"/>
        </w:rPr>
        <w:t xml:space="preserve">. </w:t>
      </w:r>
    </w:p>
    <w:p w14:paraId="6210FB46" w14:textId="77777777" w:rsidR="00B3019D" w:rsidRDefault="00B3019D" w:rsidP="000A0182">
      <w:pPr>
        <w:spacing w:after="0" w:line="240" w:lineRule="auto"/>
        <w:rPr>
          <w:rFonts w:eastAsia="Times New Roman" w:cs="Times New Roman"/>
          <w:color w:val="000000"/>
        </w:rPr>
      </w:pPr>
    </w:p>
    <w:p w14:paraId="3C260C5F" w14:textId="77777777" w:rsidR="00B3019D" w:rsidRDefault="00B3019D" w:rsidP="00323B5C">
      <w:pPr>
        <w:pStyle w:val="Heading3"/>
      </w:pPr>
      <w:r>
        <w:t>Payers</w:t>
      </w:r>
    </w:p>
    <w:p w14:paraId="4E2E9F59" w14:textId="09669F46" w:rsidR="00AE34D3" w:rsidRDefault="00D85802" w:rsidP="000A0182">
      <w:pPr>
        <w:spacing w:after="0" w:line="240" w:lineRule="auto"/>
        <w:rPr>
          <w:rFonts w:eastAsia="Times New Roman" w:cs="Times New Roman"/>
          <w:color w:val="000000"/>
        </w:rPr>
      </w:pPr>
      <w:r w:rsidRPr="00F56B0D">
        <w:rPr>
          <w:rFonts w:eastAsia="Times New Roman" w:cs="Times New Roman"/>
          <w:color w:val="000000"/>
        </w:rPr>
        <w:t xml:space="preserve">The data were also categorized by three payer strata: public insurance, private insurance, and </w:t>
      </w:r>
      <w:r w:rsidR="008D51EC" w:rsidRPr="00F56B0D">
        <w:rPr>
          <w:rFonts w:eastAsia="Times New Roman" w:cs="Times New Roman"/>
          <w:color w:val="000000"/>
        </w:rPr>
        <w:t xml:space="preserve">people paying </w:t>
      </w:r>
      <w:r w:rsidRPr="00F56B0D">
        <w:rPr>
          <w:rFonts w:eastAsia="Times New Roman" w:cs="Times New Roman"/>
          <w:color w:val="000000"/>
        </w:rPr>
        <w:t>out</w:t>
      </w:r>
      <w:r w:rsidR="00D95947">
        <w:rPr>
          <w:rFonts w:eastAsia="Times New Roman" w:cs="Times New Roman"/>
          <w:color w:val="000000"/>
        </w:rPr>
        <w:t xml:space="preserve"> </w:t>
      </w:r>
      <w:r w:rsidRPr="00F56B0D">
        <w:rPr>
          <w:rFonts w:eastAsia="Times New Roman" w:cs="Times New Roman"/>
          <w:color w:val="000000"/>
        </w:rPr>
        <w:t>of</w:t>
      </w:r>
      <w:r w:rsidR="00D95947">
        <w:rPr>
          <w:rFonts w:eastAsia="Times New Roman" w:cs="Times New Roman"/>
          <w:color w:val="000000"/>
        </w:rPr>
        <w:t xml:space="preserve"> </w:t>
      </w:r>
      <w:r w:rsidRPr="00F56B0D">
        <w:rPr>
          <w:rFonts w:eastAsia="Times New Roman" w:cs="Times New Roman"/>
          <w:color w:val="000000"/>
        </w:rPr>
        <w:t xml:space="preserve">pocket. </w:t>
      </w:r>
      <w:r w:rsidR="00055B7B">
        <w:rPr>
          <w:rFonts w:eastAsia="Times New Roman" w:cs="Times New Roman"/>
          <w:color w:val="000000"/>
        </w:rPr>
        <w:t>NIS has information on the primary payer for each inpatient stay. In MEPS, m</w:t>
      </w:r>
      <w:r w:rsidR="0015147E" w:rsidRPr="00F56B0D">
        <w:rPr>
          <w:rFonts w:eastAsia="Times New Roman" w:cs="Times New Roman"/>
          <w:color w:val="000000"/>
        </w:rPr>
        <w:t>any inpatient stays reported payments from multiple payers, reflecting co-payments, deductibles, or the purchase of Medicare Supplement Insurance. When multiple payers were listed, the payer who covered the largest portion of the payment was designated as the primary payer, and the entire payment was attributed to this payer</w:t>
      </w:r>
      <w:r w:rsidR="00843FDB" w:rsidRPr="00F56B0D">
        <w:rPr>
          <w:rFonts w:eastAsia="Times New Roman" w:cs="Times New Roman"/>
          <w:color w:val="000000"/>
        </w:rPr>
        <w:t>.</w:t>
      </w:r>
      <w:r w:rsidR="0034235D" w:rsidRPr="00F56B0D">
        <w:rPr>
          <w:rFonts w:eastAsia="Times New Roman" w:cs="Times New Roman"/>
          <w:color w:val="000000"/>
        </w:rPr>
        <w:t xml:space="preserve"> </w:t>
      </w:r>
      <w:r w:rsidR="00900C01" w:rsidRPr="00F56B0D">
        <w:rPr>
          <w:rFonts w:eastAsia="Times New Roman" w:cs="Times New Roman"/>
          <w:color w:val="000000"/>
        </w:rPr>
        <w:t>For example,</w:t>
      </w:r>
      <w:r w:rsidR="00843FDB" w:rsidRPr="00F56B0D">
        <w:rPr>
          <w:rFonts w:eastAsia="Times New Roman" w:cs="Times New Roman"/>
          <w:color w:val="000000"/>
        </w:rPr>
        <w:t xml:space="preserve"> if Medicare paid 75% of a patient’s total payment and the other 25% was out-of-pocket, </w:t>
      </w:r>
      <w:r w:rsidRPr="00F56B0D">
        <w:rPr>
          <w:rFonts w:eastAsia="Times New Roman" w:cs="Times New Roman"/>
          <w:color w:val="000000"/>
        </w:rPr>
        <w:t xml:space="preserve">the </w:t>
      </w:r>
      <w:r w:rsidR="00843FDB" w:rsidRPr="00F56B0D">
        <w:rPr>
          <w:rFonts w:eastAsia="Times New Roman" w:cs="Times New Roman"/>
          <w:color w:val="000000"/>
        </w:rPr>
        <w:t xml:space="preserve">observation was assigned to the “public” stratum. </w:t>
      </w:r>
      <w:r w:rsidR="0034235D" w:rsidRPr="00F56B0D">
        <w:rPr>
          <w:rFonts w:eastAsia="Times New Roman" w:cs="Times New Roman"/>
          <w:color w:val="000000"/>
        </w:rPr>
        <w:t xml:space="preserve"> As seen in </w:t>
      </w:r>
      <w:r w:rsidR="00F94A40">
        <w:rPr>
          <w:rFonts w:eastAsia="Times New Roman" w:cs="Times New Roman"/>
          <w:color w:val="000000"/>
        </w:rPr>
        <w:t>Fig S1</w:t>
      </w:r>
      <w:r w:rsidR="0034235D" w:rsidRPr="00F56B0D">
        <w:rPr>
          <w:rFonts w:eastAsia="Times New Roman" w:cs="Times New Roman"/>
          <w:color w:val="000000"/>
        </w:rPr>
        <w:t>, the primary payer often covered the majority of each payment.</w:t>
      </w:r>
    </w:p>
    <w:p w14:paraId="46EB22B0" w14:textId="77777777" w:rsidR="00AE34D3" w:rsidRDefault="00AE34D3" w:rsidP="000A0182">
      <w:pPr>
        <w:spacing w:after="0" w:line="240" w:lineRule="auto"/>
        <w:rPr>
          <w:rFonts w:eastAsia="Times New Roman" w:cs="Times New Roman"/>
          <w:color w:val="000000"/>
        </w:rPr>
      </w:pPr>
    </w:p>
    <w:p w14:paraId="78FE2FDC" w14:textId="4419F6A0" w:rsidR="00B3019D" w:rsidRDefault="00AE34D3" w:rsidP="000A0182">
      <w:pPr>
        <w:spacing w:after="0" w:line="240" w:lineRule="auto"/>
        <w:rPr>
          <w:rFonts w:ascii="Calibri" w:eastAsia="Times New Roman" w:hAnsi="Calibri" w:cs="Times New Roman"/>
          <w:color w:val="000000"/>
        </w:rPr>
      </w:pPr>
      <w:r w:rsidRPr="00AE34D3">
        <w:rPr>
          <w:rFonts w:ascii="Calibri" w:eastAsia="Times New Roman" w:hAnsi="Calibri" w:cs="Times New Roman"/>
          <w:b/>
          <w:color w:val="000000"/>
        </w:rPr>
        <w:lastRenderedPageBreak/>
        <w:t xml:space="preserve">Fig </w:t>
      </w:r>
      <w:r w:rsidR="00F94A40">
        <w:rPr>
          <w:rFonts w:ascii="Calibri" w:eastAsia="Times New Roman" w:hAnsi="Calibri" w:cs="Times New Roman"/>
          <w:b/>
          <w:color w:val="000000"/>
        </w:rPr>
        <w:t>S</w:t>
      </w:r>
      <w:r w:rsidRPr="00AE34D3">
        <w:rPr>
          <w:rFonts w:ascii="Calibri" w:eastAsia="Times New Roman" w:hAnsi="Calibri" w:cs="Times New Roman"/>
          <w:b/>
          <w:color w:val="000000"/>
        </w:rPr>
        <w:t>1.</w:t>
      </w:r>
      <w:r w:rsidRPr="00AE34D3">
        <w:rPr>
          <w:rFonts w:ascii="Calibri" w:eastAsia="Times New Roman" w:hAnsi="Calibri" w:cs="Times New Roman"/>
          <w:color w:val="000000"/>
        </w:rPr>
        <w:t xml:space="preserve"> Proportions of the total payment paid by the primary payer in MEPS.</w:t>
      </w:r>
    </w:p>
    <w:p w14:paraId="5E7FA8B3" w14:textId="03964CF8" w:rsidR="00F94A40" w:rsidRPr="005D1F00" w:rsidRDefault="0093467F" w:rsidP="000A0182">
      <w:pPr>
        <w:spacing w:after="0" w:line="240" w:lineRule="auto"/>
        <w:rPr>
          <w:rFonts w:ascii="Calibri" w:eastAsia="Times New Roman" w:hAnsi="Calibri" w:cs="Times New Roman"/>
          <w:color w:val="000000"/>
        </w:rPr>
      </w:pPr>
      <w:r w:rsidRPr="0093467F">
        <w:rPr>
          <w:rFonts w:ascii="Calibri" w:eastAsia="Times New Roman" w:hAnsi="Calibri" w:cs="Times New Roman"/>
          <w:noProof/>
          <w:color w:val="000000"/>
          <w:lang w:eastAsia="en-US"/>
        </w:rPr>
        <w:drawing>
          <wp:inline distT="0" distB="0" distL="0" distR="0" wp14:anchorId="64FAC776" wp14:editId="1B5E169D">
            <wp:extent cx="5029200" cy="3657600"/>
            <wp:effectExtent l="0" t="0" r="0" b="0"/>
            <wp:docPr id="2" name="Picture 2" descr="C:\Users\AChapin2\Downloads\Annex_Fig1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pin2\Downloads\Annex_Fig1 (3).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715E55F" w14:textId="77777777" w:rsidR="00B3019D" w:rsidRDefault="00B3019D" w:rsidP="00323B5C">
      <w:pPr>
        <w:pStyle w:val="Heading3"/>
      </w:pPr>
      <w:r>
        <w:t>Diagnoses</w:t>
      </w:r>
    </w:p>
    <w:p w14:paraId="3F8F7641" w14:textId="066DD9C8" w:rsidR="00E575AA" w:rsidRDefault="00720A20" w:rsidP="000A0182">
      <w:pPr>
        <w:spacing w:after="0" w:line="240" w:lineRule="auto"/>
        <w:rPr>
          <w:rFonts w:eastAsia="Times New Roman" w:cs="Times New Roman"/>
          <w:color w:val="222222"/>
          <w:shd w:val="clear" w:color="auto" w:fill="FFFFFF"/>
        </w:rPr>
      </w:pPr>
      <w:r w:rsidRPr="00F56B0D">
        <w:rPr>
          <w:rFonts w:eastAsia="Times New Roman" w:cs="Times New Roman"/>
          <w:color w:val="000000"/>
        </w:rPr>
        <w:t>While NIS reports a primary diagnosis, MEPS does not. For MEPS, t</w:t>
      </w:r>
      <w:r w:rsidR="00E87B09" w:rsidRPr="00F56B0D">
        <w:rPr>
          <w:rFonts w:eastAsia="Times New Roman" w:cs="Times New Roman"/>
          <w:color w:val="000000"/>
        </w:rPr>
        <w:t>he primary diagnosis was assigned to be t</w:t>
      </w:r>
      <w:r w:rsidR="00843FDB" w:rsidRPr="00F56B0D">
        <w:rPr>
          <w:rFonts w:eastAsia="Times New Roman" w:cs="Times New Roman"/>
          <w:color w:val="000000"/>
        </w:rPr>
        <w:t xml:space="preserve">he first listed </w:t>
      </w:r>
      <w:r w:rsidR="0015147E" w:rsidRPr="00F56B0D">
        <w:rPr>
          <w:rFonts w:eastAsia="Times New Roman" w:cs="Times New Roman"/>
          <w:color w:val="000000"/>
        </w:rPr>
        <w:t>ICD-9 code</w:t>
      </w:r>
      <w:r w:rsidR="00843FDB" w:rsidRPr="00F56B0D">
        <w:rPr>
          <w:rFonts w:eastAsia="Times New Roman" w:cs="Times New Roman"/>
          <w:color w:val="000000"/>
        </w:rPr>
        <w:t>.</w:t>
      </w:r>
      <w:r w:rsidR="006F7489" w:rsidRPr="0028176A">
        <w:t xml:space="preserve"> </w:t>
      </w:r>
      <w:r w:rsidR="00CA1BC5">
        <w:t>T</w:t>
      </w:r>
      <w:r w:rsidR="00A25F36">
        <w:t xml:space="preserve">he causes associated with payment ratios </w:t>
      </w:r>
      <w:r w:rsidR="002E5BB6">
        <w:t xml:space="preserve">in </w:t>
      </w:r>
      <w:r w:rsidR="00A25F36">
        <w:t>our</w:t>
      </w:r>
      <w:r w:rsidR="002E5BB6">
        <w:t xml:space="preserve"> analysis were </w:t>
      </w:r>
      <w:r w:rsidR="00A25F36">
        <w:t xml:space="preserve">then </w:t>
      </w:r>
      <w:r w:rsidR="00CA1BC5">
        <w:t xml:space="preserve">based </w:t>
      </w:r>
      <w:r w:rsidR="00A25F36">
        <w:t>upon</w:t>
      </w:r>
      <w:r w:rsidR="00CA1BC5">
        <w:t xml:space="preserve"> this primary diagnosis. For both datasets, w</w:t>
      </w:r>
      <w:r w:rsidR="006F7489" w:rsidRPr="0028176A">
        <w:t xml:space="preserve">e used the </w:t>
      </w:r>
      <w:r w:rsidR="006F7489" w:rsidRPr="0028176A">
        <w:rPr>
          <w:iCs/>
        </w:rPr>
        <w:t xml:space="preserve">Global Burden of Disease 2013 study (GBD 2013) as our underlying framework for disease </w:t>
      </w:r>
      <w:r w:rsidR="006F7489">
        <w:rPr>
          <w:iCs/>
        </w:rPr>
        <w:t>classification</w:t>
      </w:r>
      <w:r w:rsidR="00ED440A">
        <w:rPr>
          <w:iCs/>
        </w:rPr>
        <w:t xml:space="preserve"> </w:t>
      </w:r>
      <w:r w:rsidR="00ED440A">
        <w:rPr>
          <w:iCs/>
        </w:rPr>
        <w:fldChar w:fldCharType="begin"/>
      </w:r>
      <w:r w:rsidR="00ED440A">
        <w:rPr>
          <w:iCs/>
        </w:rPr>
        <w:instrText xml:space="preserve"> ADDIN ZOTERO_ITEM CSL_CITATION {"citationID":"1dfffa73u6","properties":{"formattedCitation":"[2,3]","plainCitation":"[2,3]"},"citationItems":[{"id":45420,"uris":["http://zotero.org/groups/21876/items/CF6Q6B54"],"uri":["http://zotero.org/groups/21876/items/CF6Q6B54"],"itemData":{"id":45420,"type":"article-journal","title":"Global, regional, and national age-sex specific all-cause and cause-specific mortality for 240 causes of death, 1990-2013: a systematic analysis for the Global Burden of Disease Study 2013","container-title":"Lancet (London, England)","page":"117-171","volume":"385","issue":"9963","source":"PubMed","abstract":"BACKGROUND: Up-to-date evidence on levels and trends for age-sex-specific all-cause and cause-specific mortality is essential for the formation of global, regional, and national health policies. In the Global Burden of Disease Study 2013 (GBD 2013) we estimated yearly deaths for 188 countries between 1990, and 2013. We used the results to assess whether there is epidemiological convergence across countries.\nMETHODS: We estimated age-sex-specific all-cause mortality using the GBD 2010 methods with some refinements to improve accuracy applied to an updated database of vital registration, survey, and census data. We generally estimated cause of death as in the GBD 2010. Key improvements included the addition of more recent vital registration data for 72 countries, an updated verbal autopsy literature review, two new and detailed data systems for China, and more detail for Mexico, UK, Turkey, and Russia. We improved statistical models for garbage code redistribution. We used six different modelling strategies across the 240 causes; cause of death ensemble modelling (CODEm) was the dominant strategy for causes with sufficient information. Trends for Alzheimer's disease and other dementias were informed by meta-regression of prevalence studies. For pathogen-specific causes of diarrhoea and lower respiratory infections we used a counterfactual approach. We computed two measures of convergence (inequality) across countries: the average relative difference across all pairs of countries (Gini coefficient) and the average absolute difference across countries. To summarise broad findings, we used multiple decrement life-tables to decompose probabilities of death from birth to exact age 15 years, from exact age 15 years to exact age 50 years, and from exact age 50 years to exact age 75 years, and life expectancy at birth into major causes. For all quantities reported, we computed 95% uncertainty intervals (UIs). We constrained cause-specific fractions within each age-sex-country-year group to sum to all-cause mortality based on draws from the uncertainty distributions.\nFINDINGS: Global life expectancy for both sexes increased from 65.3 years (UI 65.0-65.6) in 1990, to 71.5 years (UI 71.0-71.9) in 2013, while the number of deaths increased from 47.5 million (UI 46.8-48.2) to 54.9 million (UI 53.6-56.3) over the same interval. Global progress masked variation by age and sex: for children, average absolute differences between countries decreased but relative differences increased. For women aged 25-39 years and older than 75 years and for men aged 20-49 years and 65 years and older, both absolute and relative differences increased. Decomposition of global and regional life expectancy showed the prominent role of reductions in age-standardised death rates for cardiovascular diseases and cancers in high-income regions, and reductions in child deaths from diarrhoea, lower respiratory infections, and neonatal causes in low-income regions. HIV/AIDS reduced life expectancy in southern sub-Saharan Africa. For most communicable causes of death both numbers of deaths and age-standardised death rates fell whereas for most non-communicable causes, demographic shifts have increased numbers of deaths but decreased age-standardised death rates. Global deaths from injury increased by 10.7%, from 4.3 million deaths in 1990 to 4.8 million in 2013; but age-standardised rates declined over the same period by 21%. For some causes of more than 100,000 deaths per year in 2013, age-standardised death rates increased between 1990 and 2013, including HIV/AIDS, pancreatic cancer, atrial fibrillation and flutter, drug use disorders, diabetes, chronic kidney disease, and sickle-cell anaemias. Diarrhoeal diseases, lower respiratory infections, neonatal causes, and malaria are still in the top five causes of death in children younger than 5 years. The most important pathogens are rotavirus for diarrhoea and pneumococcus for lower respiratory infections. Country-specific probabilities of death over three phases of life were substantially varied between and within regions.\nINTERPRETATION: For most countries, the general pattern of reductions in age-sex specific mortality has been associated with a progressive shift towards a larger share of the remaining deaths caused by non-communicable disease and injuries. Assessing epidemiological convergence across countries depends on whether an absolute or relative measure of inequality is used. Nevertheless, age-standardised death rates for seven substantial causes are increasing, suggesting the potential for reversals in some countries. Important gaps exist in the empirical data for cause of death estimates for some countries; for example, no national data for India are available for the past decade.\nFUNDING: Bill &amp; Melinda Gates Foundation.","DOI":"10.1016/S0140-6736(14)61682-2","ISSN":"1474-547X","note":"PMID: 25530442\nPMCID: PMC4340604","shortTitle":"Global, regional, and national age-sex specific all-cause and cause-specific mortality for 240 causes of death, 1990-2013","journalAbbreviation":"Lancet","language":"eng","author":[{"family":"GBD 2013 Mortality and Causes of Death Collaborators","given":""}],"issued":{"date-parts":[["2015",1,10]]},"PMID":"25530442","PMCID":"PMC4340604"},"label":"page"},{"id":45525,"uris":["http://zotero.org/groups/21876/items/MM52372P"],"uri":["http://zotero.org/groups/21876/items/MM52372P"],"itemData":{"id":45525,"type":"article-journal","title":"Global, regional, and national incidence, prevalence, and years lived with disability for 301 acute and chronic diseases and injuries in 188 countries, 1990-2013: a systematic analysis for the Global Burden of Disease Study 2013","container-title":"Lancet (London, England)","source":"PubMed","abstract":"BACKGROUND: Up-to-date evidence about levels and trends in disease and injury incidence, prevalence, and years lived with disability (YLDs) is an essential input into global, regional, and national health policies. In the Global Burden of Disease Study 2013 (GBD 2013), we estimated these quantities for acute and chronic diseases and injuries for 188 countries between 1990 and 2013.\nMETHODS: Estimates were calculated for disease and injury incidence, prevalence, and YLDs using GBD 2010 methods with some important refinements. Results for incidence of acute disorders and prevalence of chronic disorders are new additions to the analysis. Key improvements include expansion to the cause and sequelae list, updated systematic reviews, use of detailed injury codes, improvements to the Bayesian meta-regression method (DisMod-MR), and use of severity splits for various causes. An index of data representativeness, showing data availability, was calculated for each cause and impairment during three periods globally and at the country level for 2013. In total, 35 620 distinct sources of data were used and documented to calculated estimates for 301 diseases and injuries and 2337 sequelae. The comorbidity simulation provides estimates for the number of sequelae, concurrently, by individuals by country, year, age, and sex. Disability weights were updated with the addition of new population-based survey data from four countries.\nFINDINGS: Disease and injury were highly prevalent; only a small fraction of individuals had no sequelae. Comorbidity rose substantially with age and in absolute terms from 1990 to 2013. Incidence of acute sequelae were predominantly infectious diseases and short-term injuries, with over 2 billion cases of upper respiratory infections and diarrhoeal disease episodes in 2013, with the notable exception of tooth pain due to permanent caries with more than 200 million incident cases in 2013. Conversely, leading chronic sequelae were largely attributable to non-communicable diseases, with prevalence estimates for asymptomatic permanent caries and tension-type headache of 2·4 billion and 1·6 billion, respectively. The distribution of the number of sequelae in populations varied widely across regions, with an expected relation between age and disease prevalence. YLDs for both sexes increased from 537·6 million in 1990 to 764·8 million in 2013 due to population growth and ageing, whereas the age-standardised rate decreased little from 114·87 per 1000 people to 110·31 per 1000 people between 1990 and 2013. Leading causes of YLDs included low back pain and major depressive disorder among the top ten causes of YLDs in every country. YLD rates per person, by major cause groups, indicated the main drivers of increases were due to musculoskeletal, mental, and substance use disorders, neurological disorders, and chronic respiratory diseases; however HIV/AIDS was a notable driver of increasing YLDs in sub-Saharan Africa. Also, the proportion of disability-adjusted life years due to YLDs increased globally from 21·1% in 1990 to 31·2% in 2013.\nINTERPRETATION: Ageing of the world's population is leading to a substantial increase in the numbers of individuals with sequelae of diseases and injuries. Rates of YLDs are declining much more slowly than mortality rates. The non-fatal dimensions of disease and injury will require more and more attention from health systems. The transition to non-fatal outcomes as the dominant source of burden of disease is occurring rapidly outside of sub-Saharan Africa. Our results can guide future health initiatives through examination of epidemiological trends and a better understanding of variation across countries.\nFUNDING: Bill &amp; Melinda Gates Foundation.","DOI":"10.1016/S0140-6736(15)60692-4","ISSN":"1474-547X","note":"PMID: 26063472","shortTitle":"Global, regional, and national incidence, prevalence, and years lived with disability for 301 acute and chronic diseases and injuries in 188 countries, 1990-2013","journalAbbreviation":"Lancet","language":"ENG","author":[{"family":"Global Burden of Disease Study 2013 Collaborators","given":""}],"issued":{"date-parts":[["2015",6,7]]},"PMID":"26063472"},"label":"page"}],"schema":"https://github.com/citation-style-language/schema/raw/master/csl-citation.json"} </w:instrText>
      </w:r>
      <w:r w:rsidR="00ED440A">
        <w:rPr>
          <w:iCs/>
        </w:rPr>
        <w:fldChar w:fldCharType="separate"/>
      </w:r>
      <w:r w:rsidR="00ED440A" w:rsidRPr="00ED440A">
        <w:rPr>
          <w:rFonts w:ascii="Calibri" w:hAnsi="Calibri"/>
        </w:rPr>
        <w:t>[2,3]</w:t>
      </w:r>
      <w:r w:rsidR="00ED440A">
        <w:rPr>
          <w:iCs/>
        </w:rPr>
        <w:fldChar w:fldCharType="end"/>
      </w:r>
      <w:r w:rsidR="006F7489">
        <w:rPr>
          <w:iCs/>
        </w:rPr>
        <w:t>. This cause framework aggregates</w:t>
      </w:r>
      <w:r w:rsidR="006F7489" w:rsidRPr="0028176A">
        <w:rPr>
          <w:iCs/>
        </w:rPr>
        <w:t xml:space="preserve"> </w:t>
      </w:r>
      <w:r w:rsidR="006F7489">
        <w:rPr>
          <w:iCs/>
        </w:rPr>
        <w:t>the 17,849</w:t>
      </w:r>
      <w:r w:rsidR="006F7489" w:rsidRPr="0028176A">
        <w:rPr>
          <w:iCs/>
        </w:rPr>
        <w:t xml:space="preserve"> ICD-9 co</w:t>
      </w:r>
      <w:r w:rsidR="006F7489">
        <w:rPr>
          <w:iCs/>
        </w:rPr>
        <w:t>des into 289</w:t>
      </w:r>
      <w:r w:rsidR="006F7489" w:rsidRPr="0028176A">
        <w:rPr>
          <w:iCs/>
        </w:rPr>
        <w:t xml:space="preserve"> </w:t>
      </w:r>
      <w:r w:rsidR="006F7489" w:rsidRPr="0028176A">
        <w:t xml:space="preserve">distinct causes </w:t>
      </w:r>
      <w:r w:rsidR="00D578C4">
        <w:t>according to</w:t>
      </w:r>
      <w:r w:rsidR="006F7489" w:rsidRPr="0028176A">
        <w:t xml:space="preserve"> clinically relevant groupings of codes</w:t>
      </w:r>
      <w:r w:rsidR="00B00556">
        <w:t xml:space="preserve"> </w:t>
      </w:r>
      <w:r w:rsidR="00B00556">
        <w:fldChar w:fldCharType="begin"/>
      </w:r>
      <w:r w:rsidR="00B00556">
        <w:instrText xml:space="preserve"> ADDIN ZOTERO_ITEM CSL_CITATION {"citationID":"uH2JHP2Y","properties":{"formattedCitation":"[4]","plainCitation":"[4]"},"citationItems":[{"id":46088,"uris":["http://zotero.org/groups/21876/items/H5F5D2SA"],"uri":["http://zotero.org/groups/21876/items/H5F5D2SA"],"itemData":{"id":46088,"type":"webpage","title":"ICD - ICD-10-CM - International Classification of Diseases,(ICD-10-CM/PCS Transition","URL":"http://www.cdc.gov/nchs/icd/icd10cm_pcs_background.htm","language":"eng","accessed":{"date-parts":[["2015",7,28]]}}}],"schema":"https://github.com/citation-style-language/schema/raw/master/csl-citation.json"} </w:instrText>
      </w:r>
      <w:r w:rsidR="00B00556">
        <w:fldChar w:fldCharType="separate"/>
      </w:r>
      <w:r w:rsidR="00B00556" w:rsidRPr="00B00556">
        <w:rPr>
          <w:rFonts w:ascii="Calibri" w:hAnsi="Calibri"/>
        </w:rPr>
        <w:t>[4]</w:t>
      </w:r>
      <w:r w:rsidR="00B00556">
        <w:fldChar w:fldCharType="end"/>
      </w:r>
      <w:r w:rsidR="006F7489" w:rsidRPr="0028176A">
        <w:t>.</w:t>
      </w:r>
      <w:r w:rsidR="006F7489" w:rsidRPr="0028176A">
        <w:rPr>
          <w:iCs/>
        </w:rPr>
        <w:t xml:space="preserve"> Within </w:t>
      </w:r>
      <w:r w:rsidR="006F7489">
        <w:rPr>
          <w:iCs/>
        </w:rPr>
        <w:t>the GBD</w:t>
      </w:r>
      <w:r w:rsidR="006F7489" w:rsidRPr="0028176A">
        <w:rPr>
          <w:iCs/>
        </w:rPr>
        <w:t xml:space="preserve"> framework, causes can be </w:t>
      </w:r>
      <w:r w:rsidR="006F7489">
        <w:rPr>
          <w:iCs/>
        </w:rPr>
        <w:t xml:space="preserve">further </w:t>
      </w:r>
      <w:r w:rsidR="006F7489" w:rsidRPr="0028176A">
        <w:rPr>
          <w:iCs/>
        </w:rPr>
        <w:t xml:space="preserve">aggregated into </w:t>
      </w:r>
      <w:r w:rsidR="006F7489">
        <w:rPr>
          <w:iCs/>
        </w:rPr>
        <w:t>less</w:t>
      </w:r>
      <w:r w:rsidR="006F7489" w:rsidRPr="0028176A">
        <w:rPr>
          <w:iCs/>
        </w:rPr>
        <w:t xml:space="preserve"> granular classifications depending on the policy purpose. In this study </w:t>
      </w:r>
      <w:r w:rsidR="006F7489">
        <w:rPr>
          <w:iCs/>
        </w:rPr>
        <w:t>we als</w:t>
      </w:r>
      <w:r w:rsidR="006F7489">
        <w:t>o included an “expenditure-only” category of causes, which tracks encounters with the health system that are not associated with disease burden, and are therefore excluded from GBD. Examples are organ donation, and healthy pregnancy and postpartum care. We</w:t>
      </w:r>
      <w:r w:rsidR="006F7489" w:rsidRPr="0028176A">
        <w:rPr>
          <w:iCs/>
        </w:rPr>
        <w:t xml:space="preserve"> mapped </w:t>
      </w:r>
      <w:r w:rsidR="006F7489">
        <w:rPr>
          <w:iCs/>
        </w:rPr>
        <w:t xml:space="preserve">the </w:t>
      </w:r>
      <w:r w:rsidR="006F7489" w:rsidRPr="0028176A">
        <w:rPr>
          <w:iCs/>
        </w:rPr>
        <w:t>primary diagnoses</w:t>
      </w:r>
      <w:r w:rsidR="006F7489">
        <w:rPr>
          <w:iCs/>
        </w:rPr>
        <w:t xml:space="preserve"> found in MEPS</w:t>
      </w:r>
      <w:r w:rsidR="006F7489" w:rsidRPr="0028176A">
        <w:rPr>
          <w:iCs/>
        </w:rPr>
        <w:t xml:space="preserve"> </w:t>
      </w:r>
      <w:r w:rsidR="006F7489">
        <w:rPr>
          <w:iCs/>
        </w:rPr>
        <w:t xml:space="preserve">and NIS </w:t>
      </w:r>
      <w:r w:rsidR="006F7489" w:rsidRPr="0028176A">
        <w:rPr>
          <w:iCs/>
        </w:rPr>
        <w:t>to</w:t>
      </w:r>
      <w:r w:rsidR="006F7489">
        <w:rPr>
          <w:iCs/>
        </w:rPr>
        <w:t xml:space="preserve"> 32 unique causes </w:t>
      </w:r>
      <w:r w:rsidR="006F7489">
        <w:t>of health</w:t>
      </w:r>
      <w:r w:rsidR="00E236E7">
        <w:t>care</w:t>
      </w:r>
      <w:r w:rsidR="006F7489">
        <w:t xml:space="preserve"> encounters.</w:t>
      </w:r>
    </w:p>
    <w:p w14:paraId="25655882" w14:textId="77777777" w:rsidR="00E575AA" w:rsidRDefault="00E575AA" w:rsidP="000A0182">
      <w:pPr>
        <w:spacing w:after="0" w:line="240" w:lineRule="auto"/>
        <w:rPr>
          <w:rFonts w:eastAsia="Times New Roman" w:cs="Times New Roman"/>
          <w:color w:val="222222"/>
          <w:shd w:val="clear" w:color="auto" w:fill="FFFFFF"/>
        </w:rPr>
      </w:pPr>
    </w:p>
    <w:p w14:paraId="6022911B" w14:textId="29921A0A" w:rsidR="0034235D" w:rsidRPr="00F56B0D" w:rsidRDefault="00EE2B25" w:rsidP="000A0182">
      <w:pPr>
        <w:spacing w:after="0" w:line="240" w:lineRule="auto"/>
        <w:rPr>
          <w:rFonts w:eastAsia="Times New Roman" w:cs="Times New Roman"/>
          <w:color w:val="222222"/>
          <w:shd w:val="clear" w:color="auto" w:fill="FFFFFF"/>
        </w:rPr>
      </w:pPr>
      <w:r w:rsidRPr="00F56B0D">
        <w:rPr>
          <w:rFonts w:eastAsia="Times New Roman" w:cs="Times New Roman"/>
          <w:color w:val="222222"/>
          <w:shd w:val="clear" w:color="auto" w:fill="FFFFFF"/>
        </w:rPr>
        <w:t xml:space="preserve">Both datasets </w:t>
      </w:r>
      <w:r w:rsidR="0015147E" w:rsidRPr="00F56B0D">
        <w:rPr>
          <w:rFonts w:eastAsia="Times New Roman" w:cs="Times New Roman"/>
          <w:color w:val="222222"/>
          <w:shd w:val="clear" w:color="auto" w:fill="FFFFFF"/>
        </w:rPr>
        <w:t xml:space="preserve">contained </w:t>
      </w:r>
      <w:r w:rsidR="00843FDB" w:rsidRPr="00F56B0D">
        <w:rPr>
          <w:rFonts w:eastAsia="Times New Roman" w:cs="Times New Roman"/>
          <w:color w:val="222222"/>
          <w:shd w:val="clear" w:color="auto" w:fill="FFFFFF"/>
        </w:rPr>
        <w:t>GBD “garbage codes</w:t>
      </w:r>
      <w:r w:rsidRPr="00F56B0D">
        <w:rPr>
          <w:rFonts w:eastAsia="Times New Roman" w:cs="Times New Roman"/>
          <w:color w:val="222222"/>
          <w:shd w:val="clear" w:color="auto" w:fill="FFFFFF"/>
        </w:rPr>
        <w:t>,</w:t>
      </w:r>
      <w:r w:rsidR="00843FDB" w:rsidRPr="00F56B0D">
        <w:rPr>
          <w:rFonts w:eastAsia="Times New Roman" w:cs="Times New Roman"/>
          <w:color w:val="222222"/>
          <w:shd w:val="clear" w:color="auto" w:fill="FFFFFF"/>
        </w:rPr>
        <w:t>”</w:t>
      </w:r>
      <w:r w:rsidRPr="00F56B0D">
        <w:rPr>
          <w:rFonts w:eastAsia="Times New Roman" w:cs="Times New Roman"/>
          <w:color w:val="222222"/>
          <w:shd w:val="clear" w:color="auto" w:fill="FFFFFF"/>
        </w:rPr>
        <w:t xml:space="preserve"> defined as causes that are vague or do not </w:t>
      </w:r>
      <w:r w:rsidR="00E24DEA" w:rsidRPr="00F56B0D">
        <w:rPr>
          <w:rFonts w:eastAsia="Times New Roman" w:cs="Times New Roman"/>
          <w:color w:val="222222"/>
          <w:shd w:val="clear" w:color="auto" w:fill="FFFFFF"/>
        </w:rPr>
        <w:t xml:space="preserve">report </w:t>
      </w:r>
      <w:r w:rsidRPr="00F56B0D">
        <w:rPr>
          <w:rFonts w:eastAsia="Times New Roman" w:cs="Times New Roman"/>
          <w:color w:val="222222"/>
          <w:shd w:val="clear" w:color="auto" w:fill="FFFFFF"/>
        </w:rPr>
        <w:t xml:space="preserve">the underlying causes </w:t>
      </w:r>
      <w:r w:rsidR="00E24DEA" w:rsidRPr="00F56B0D">
        <w:rPr>
          <w:rFonts w:eastAsia="Times New Roman" w:cs="Times New Roman"/>
          <w:color w:val="222222"/>
          <w:shd w:val="clear" w:color="auto" w:fill="FFFFFF"/>
        </w:rPr>
        <w:t xml:space="preserve">of </w:t>
      </w:r>
      <w:r w:rsidR="00E575AA">
        <w:rPr>
          <w:rFonts w:eastAsia="Times New Roman" w:cs="Times New Roman"/>
          <w:color w:val="222222"/>
          <w:shd w:val="clear" w:color="auto" w:fill="FFFFFF"/>
        </w:rPr>
        <w:t>healthcare encounters</w:t>
      </w:r>
      <w:r w:rsidR="00ED440A">
        <w:rPr>
          <w:rFonts w:eastAsia="Times New Roman" w:cs="Times New Roman"/>
          <w:color w:val="222222"/>
          <w:shd w:val="clear" w:color="auto" w:fill="FFFFFF"/>
        </w:rPr>
        <w:t xml:space="preserve"> </w:t>
      </w:r>
      <w:r w:rsidR="00ED440A">
        <w:rPr>
          <w:rFonts w:eastAsia="Times New Roman" w:cs="Times New Roman"/>
          <w:color w:val="222222"/>
          <w:shd w:val="clear" w:color="auto" w:fill="FFFFFF"/>
        </w:rPr>
        <w:fldChar w:fldCharType="begin"/>
      </w:r>
      <w:r w:rsidR="00B00556">
        <w:rPr>
          <w:rFonts w:eastAsia="Times New Roman" w:cs="Times New Roman"/>
          <w:color w:val="222222"/>
          <w:shd w:val="clear" w:color="auto" w:fill="FFFFFF"/>
        </w:rPr>
        <w:instrText xml:space="preserve"> ADDIN ZOTERO_ITEM CSL_CITATION {"citationID":"QTOhOfT1","properties":{"formattedCitation":"[5]","plainCitation":"[5]"},"citationItems":[{"id":46173,"uris":["http://zotero.org/groups/21876/items/E5NDN4C6"],"uri":["http://zotero.org/groups/21876/items/E5NDN4C6"],"itemData":{"id":46173,"type":"chapter","title":"The Burden of Disease and Mortality by Condition: Data, Methods, and Results for 2001","container-title":"Global Burden of Disease and Risk Factors","URL":"http://dcp-3.org/sites/default/files/gbd/GBD03.pdf","author":[{"family":"Lopez","given":"AD"},{"family":"Mathers","given":"CD"},{"family":"Ezzati","given":"M"},{"family":"Jamison","given":"DT"},{"family":"Murray","given":"CJL"}]}}],"schema":"https://github.com/citation-style-language/schema/raw/master/csl-citation.json"} </w:instrText>
      </w:r>
      <w:r w:rsidR="00ED440A">
        <w:rPr>
          <w:rFonts w:eastAsia="Times New Roman" w:cs="Times New Roman"/>
          <w:color w:val="222222"/>
          <w:shd w:val="clear" w:color="auto" w:fill="FFFFFF"/>
        </w:rPr>
        <w:fldChar w:fldCharType="separate"/>
      </w:r>
      <w:r w:rsidR="00B00556" w:rsidRPr="00B00556">
        <w:rPr>
          <w:rFonts w:ascii="Calibri" w:hAnsi="Calibri"/>
        </w:rPr>
        <w:t>[5]</w:t>
      </w:r>
      <w:r w:rsidR="00ED440A">
        <w:rPr>
          <w:rFonts w:eastAsia="Times New Roman" w:cs="Times New Roman"/>
          <w:color w:val="222222"/>
          <w:shd w:val="clear" w:color="auto" w:fill="FFFFFF"/>
        </w:rPr>
        <w:fldChar w:fldCharType="end"/>
      </w:r>
      <w:r w:rsidR="00E575AA">
        <w:rPr>
          <w:rFonts w:eastAsia="Times New Roman" w:cs="Times New Roman"/>
          <w:color w:val="222222"/>
          <w:shd w:val="clear" w:color="auto" w:fill="FFFFFF"/>
        </w:rPr>
        <w:t>.</w:t>
      </w:r>
      <w:r w:rsidRPr="00F56B0D">
        <w:rPr>
          <w:rFonts w:eastAsia="Times New Roman" w:cs="Times New Roman"/>
          <w:color w:val="222222"/>
          <w:shd w:val="clear" w:color="auto" w:fill="FFFFFF"/>
        </w:rPr>
        <w:t xml:space="preserve"> </w:t>
      </w:r>
      <w:r w:rsidR="006E796E">
        <w:rPr>
          <w:rFonts w:eastAsia="Times New Roman" w:cs="Times New Roman"/>
          <w:color w:val="222222"/>
          <w:shd w:val="clear" w:color="auto" w:fill="FFFFFF"/>
        </w:rPr>
        <w:t xml:space="preserve">In addition, diagnoses were reset to garbage if they broke plausible age or sex restrictions, such as </w:t>
      </w:r>
      <w:r w:rsidR="00263789">
        <w:rPr>
          <w:rFonts w:eastAsia="Times New Roman" w:cs="Times New Roman"/>
          <w:color w:val="222222"/>
          <w:shd w:val="clear" w:color="auto" w:fill="FFFFFF"/>
        </w:rPr>
        <w:t>A</w:t>
      </w:r>
      <w:r w:rsidR="006E796E">
        <w:rPr>
          <w:rFonts w:eastAsia="Times New Roman" w:cs="Times New Roman"/>
          <w:color w:val="222222"/>
          <w:shd w:val="clear" w:color="auto" w:fill="FFFFFF"/>
        </w:rPr>
        <w:t xml:space="preserve">lzheimer’s disease in five year olds, or testicular cancer in women. </w:t>
      </w:r>
      <w:r w:rsidR="00AE777B" w:rsidRPr="00F56B0D">
        <w:rPr>
          <w:rFonts w:eastAsia="Times New Roman" w:cs="Times New Roman"/>
          <w:color w:val="222222"/>
          <w:shd w:val="clear" w:color="auto" w:fill="FFFFFF"/>
        </w:rPr>
        <w:t xml:space="preserve">These </w:t>
      </w:r>
      <w:r w:rsidR="00C4182B" w:rsidRPr="00F56B0D">
        <w:rPr>
          <w:rFonts w:eastAsia="Times New Roman" w:cs="Times New Roman"/>
          <w:color w:val="222222"/>
          <w:shd w:val="clear" w:color="auto" w:fill="FFFFFF"/>
        </w:rPr>
        <w:t>observations</w:t>
      </w:r>
      <w:r w:rsidR="00AE777B" w:rsidRPr="00F56B0D">
        <w:rPr>
          <w:rFonts w:eastAsia="Times New Roman" w:cs="Times New Roman"/>
          <w:color w:val="222222"/>
          <w:shd w:val="clear" w:color="auto" w:fill="FFFFFF"/>
        </w:rPr>
        <w:t xml:space="preserve"> could not be included </w:t>
      </w:r>
      <w:r w:rsidR="00A85C89" w:rsidRPr="00F56B0D">
        <w:rPr>
          <w:rFonts w:eastAsia="Times New Roman" w:cs="Times New Roman"/>
          <w:color w:val="222222"/>
          <w:shd w:val="clear" w:color="auto" w:fill="FFFFFF"/>
        </w:rPr>
        <w:t xml:space="preserve">in the analysis </w:t>
      </w:r>
      <w:r w:rsidR="00AE777B" w:rsidRPr="00F56B0D">
        <w:rPr>
          <w:rFonts w:eastAsia="Times New Roman" w:cs="Times New Roman"/>
          <w:color w:val="222222"/>
          <w:shd w:val="clear" w:color="auto" w:fill="FFFFFF"/>
        </w:rPr>
        <w:t xml:space="preserve">as it was unclear what was being treated during these healthcare events.  </w:t>
      </w:r>
      <w:r w:rsidR="00E24DEA" w:rsidRPr="00F56B0D">
        <w:rPr>
          <w:rFonts w:eastAsia="Times New Roman" w:cs="Times New Roman"/>
          <w:color w:val="222222"/>
          <w:shd w:val="clear" w:color="auto" w:fill="FFFFFF"/>
        </w:rPr>
        <w:t>The</w:t>
      </w:r>
      <w:r w:rsidR="006B474F">
        <w:rPr>
          <w:rFonts w:eastAsia="Times New Roman" w:cs="Times New Roman"/>
          <w:color w:val="222222"/>
          <w:shd w:val="clear" w:color="auto" w:fill="FFFFFF"/>
        </w:rPr>
        <w:t>refore, the</w:t>
      </w:r>
      <w:r w:rsidR="00E24DEA" w:rsidRPr="00F56B0D">
        <w:rPr>
          <w:rFonts w:eastAsia="Times New Roman" w:cs="Times New Roman"/>
          <w:color w:val="222222"/>
          <w:shd w:val="clear" w:color="auto" w:fill="FFFFFF"/>
        </w:rPr>
        <w:t>se patient</w:t>
      </w:r>
      <w:r w:rsidR="00CF70CE">
        <w:rPr>
          <w:rFonts w:eastAsia="Times New Roman" w:cs="Times New Roman"/>
          <w:color w:val="222222"/>
          <w:shd w:val="clear" w:color="auto" w:fill="FFFFFF"/>
        </w:rPr>
        <w:t>-</w:t>
      </w:r>
      <w:r w:rsidR="00E24DEA" w:rsidRPr="00F56B0D">
        <w:rPr>
          <w:rFonts w:eastAsia="Times New Roman" w:cs="Times New Roman"/>
          <w:color w:val="222222"/>
          <w:shd w:val="clear" w:color="auto" w:fill="FFFFFF"/>
        </w:rPr>
        <w:t xml:space="preserve">level records were removed from both datasets. </w:t>
      </w:r>
      <w:r w:rsidR="00843FDB" w:rsidRPr="00F56B0D">
        <w:rPr>
          <w:rFonts w:eastAsia="Times New Roman" w:cs="Times New Roman"/>
          <w:color w:val="222222"/>
          <w:shd w:val="clear" w:color="auto" w:fill="FFFFFF"/>
        </w:rPr>
        <w:t xml:space="preserve">This decision was </w:t>
      </w:r>
      <w:r w:rsidR="003553EF" w:rsidRPr="00F56B0D">
        <w:rPr>
          <w:rFonts w:eastAsia="Times New Roman" w:cs="Times New Roman"/>
          <w:color w:val="222222"/>
          <w:shd w:val="clear" w:color="auto" w:fill="FFFFFF"/>
        </w:rPr>
        <w:t>based on</w:t>
      </w:r>
      <w:r w:rsidR="00843FDB" w:rsidRPr="00F56B0D">
        <w:rPr>
          <w:rFonts w:eastAsia="Times New Roman" w:cs="Times New Roman"/>
          <w:color w:val="222222"/>
          <w:shd w:val="clear" w:color="auto" w:fill="FFFFFF"/>
        </w:rPr>
        <w:t xml:space="preserve"> the assumption</w:t>
      </w:r>
      <w:r w:rsidR="00133ACA">
        <w:rPr>
          <w:rFonts w:eastAsia="Times New Roman" w:cs="Times New Roman"/>
          <w:color w:val="222222"/>
          <w:shd w:val="clear" w:color="auto" w:fill="FFFFFF"/>
        </w:rPr>
        <w:t xml:space="preserve"> </w:t>
      </w:r>
      <w:r w:rsidR="00843FDB" w:rsidRPr="00F56B0D">
        <w:rPr>
          <w:rFonts w:eastAsia="Times New Roman" w:cs="Times New Roman"/>
          <w:color w:val="222222"/>
          <w:shd w:val="clear" w:color="auto" w:fill="FFFFFF"/>
        </w:rPr>
        <w:t xml:space="preserve">that </w:t>
      </w:r>
      <w:r w:rsidR="0080526B" w:rsidRPr="00F56B0D">
        <w:rPr>
          <w:rFonts w:eastAsia="Times New Roman" w:cs="Times New Roman"/>
          <w:color w:val="222222"/>
          <w:shd w:val="clear" w:color="auto" w:fill="FFFFFF"/>
        </w:rPr>
        <w:t xml:space="preserve">the </w:t>
      </w:r>
      <w:r w:rsidR="006B474F">
        <w:rPr>
          <w:rFonts w:eastAsia="Times New Roman" w:cs="Times New Roman"/>
          <w:color w:val="222222"/>
          <w:shd w:val="clear" w:color="auto" w:fill="FFFFFF"/>
        </w:rPr>
        <w:t xml:space="preserve">distribution of </w:t>
      </w:r>
      <w:r w:rsidR="0080526B" w:rsidRPr="00F56B0D">
        <w:rPr>
          <w:rFonts w:eastAsia="Times New Roman" w:cs="Times New Roman"/>
          <w:color w:val="222222"/>
          <w:shd w:val="clear" w:color="auto" w:fill="FFFFFF"/>
        </w:rPr>
        <w:t xml:space="preserve">payment ratios in </w:t>
      </w:r>
      <w:r w:rsidR="006B474F">
        <w:rPr>
          <w:rFonts w:eastAsia="Times New Roman" w:cs="Times New Roman"/>
          <w:color w:val="222222"/>
          <w:shd w:val="clear" w:color="auto" w:fill="FFFFFF"/>
        </w:rPr>
        <w:t xml:space="preserve">each valid GBD cause would not systematically change if the </w:t>
      </w:r>
      <w:r w:rsidRPr="00F56B0D">
        <w:rPr>
          <w:rFonts w:eastAsia="Times New Roman" w:cs="Times New Roman"/>
          <w:color w:val="222222"/>
          <w:shd w:val="clear" w:color="auto" w:fill="FFFFFF"/>
        </w:rPr>
        <w:t>observations</w:t>
      </w:r>
      <w:r w:rsidR="00843FDB" w:rsidRPr="00F56B0D">
        <w:rPr>
          <w:rFonts w:eastAsia="Times New Roman" w:cs="Times New Roman"/>
          <w:color w:val="222222"/>
          <w:shd w:val="clear" w:color="auto" w:fill="FFFFFF"/>
        </w:rPr>
        <w:t xml:space="preserve"> prescribed to </w:t>
      </w:r>
      <w:r w:rsidR="0015147E" w:rsidRPr="00F56B0D">
        <w:rPr>
          <w:rFonts w:eastAsia="Times New Roman" w:cs="Times New Roman"/>
          <w:color w:val="222222"/>
          <w:shd w:val="clear" w:color="auto" w:fill="FFFFFF"/>
        </w:rPr>
        <w:t>ICD-9 codes</w:t>
      </w:r>
      <w:r w:rsidR="00843FDB" w:rsidRPr="00F56B0D">
        <w:rPr>
          <w:rFonts w:eastAsia="Times New Roman" w:cs="Times New Roman"/>
          <w:color w:val="222222"/>
          <w:shd w:val="clear" w:color="auto" w:fill="FFFFFF"/>
        </w:rPr>
        <w:t xml:space="preserve"> that map to garbage </w:t>
      </w:r>
      <w:r w:rsidR="006B474F">
        <w:rPr>
          <w:rFonts w:eastAsia="Times New Roman" w:cs="Times New Roman"/>
          <w:color w:val="222222"/>
          <w:shd w:val="clear" w:color="auto" w:fill="FFFFFF"/>
        </w:rPr>
        <w:t xml:space="preserve">were </w:t>
      </w:r>
      <w:r w:rsidR="00753332">
        <w:rPr>
          <w:rFonts w:eastAsia="Times New Roman" w:cs="Times New Roman"/>
          <w:color w:val="222222"/>
          <w:shd w:val="clear" w:color="auto" w:fill="FFFFFF"/>
        </w:rPr>
        <w:t>probabilistically assigned ICD-9 codes that mapped to</w:t>
      </w:r>
      <w:r w:rsidR="006B474F">
        <w:rPr>
          <w:rFonts w:eastAsia="Times New Roman" w:cs="Times New Roman"/>
          <w:color w:val="222222"/>
          <w:shd w:val="clear" w:color="auto" w:fill="FFFFFF"/>
        </w:rPr>
        <w:t xml:space="preserve"> valid</w:t>
      </w:r>
      <w:r w:rsidR="00332CAE">
        <w:rPr>
          <w:rFonts w:eastAsia="Times New Roman" w:cs="Times New Roman"/>
          <w:color w:val="222222"/>
          <w:shd w:val="clear" w:color="auto" w:fill="FFFFFF"/>
        </w:rPr>
        <w:t xml:space="preserve"> GBD</w:t>
      </w:r>
      <w:r w:rsidR="006B474F">
        <w:rPr>
          <w:rFonts w:eastAsia="Times New Roman" w:cs="Times New Roman"/>
          <w:color w:val="222222"/>
          <w:shd w:val="clear" w:color="auto" w:fill="FFFFFF"/>
        </w:rPr>
        <w:t xml:space="preserve"> causes</w:t>
      </w:r>
      <w:r w:rsidR="00843FDB" w:rsidRPr="00F56B0D">
        <w:rPr>
          <w:rFonts w:eastAsia="Times New Roman" w:cs="Times New Roman"/>
          <w:color w:val="222222"/>
          <w:shd w:val="clear" w:color="auto" w:fill="FFFFFF"/>
        </w:rPr>
        <w:t>.</w:t>
      </w:r>
      <w:r w:rsidRPr="00F56B0D">
        <w:rPr>
          <w:rFonts w:eastAsia="Times New Roman" w:cs="Times New Roman"/>
          <w:color w:val="222222"/>
          <w:shd w:val="clear" w:color="auto" w:fill="FFFFFF"/>
        </w:rPr>
        <w:t xml:space="preserve"> Under this assumption</w:t>
      </w:r>
      <w:r w:rsidR="00EA35BE">
        <w:rPr>
          <w:rFonts w:eastAsia="Times New Roman" w:cs="Times New Roman"/>
          <w:color w:val="222222"/>
          <w:shd w:val="clear" w:color="auto" w:fill="FFFFFF"/>
        </w:rPr>
        <w:t>,</w:t>
      </w:r>
      <w:r w:rsidRPr="00F56B0D">
        <w:rPr>
          <w:rFonts w:eastAsia="Times New Roman" w:cs="Times New Roman"/>
          <w:color w:val="222222"/>
          <w:shd w:val="clear" w:color="auto" w:fill="FFFFFF"/>
        </w:rPr>
        <w:t xml:space="preserve"> </w:t>
      </w:r>
      <w:r w:rsidR="00034482" w:rsidRPr="00F56B0D">
        <w:rPr>
          <w:rFonts w:eastAsia="Times New Roman" w:cs="Times New Roman"/>
          <w:color w:val="222222"/>
          <w:shd w:val="clear" w:color="auto" w:fill="FFFFFF"/>
        </w:rPr>
        <w:t>dropp</w:t>
      </w:r>
      <w:r w:rsidR="00E97006" w:rsidRPr="00F56B0D">
        <w:rPr>
          <w:rFonts w:eastAsia="Times New Roman" w:cs="Times New Roman"/>
          <w:color w:val="222222"/>
          <w:shd w:val="clear" w:color="auto" w:fill="FFFFFF"/>
        </w:rPr>
        <w:t>ing these data does not bias the</w:t>
      </w:r>
      <w:r w:rsidR="00034482" w:rsidRPr="00F56B0D">
        <w:rPr>
          <w:rFonts w:eastAsia="Times New Roman" w:cs="Times New Roman"/>
          <w:color w:val="222222"/>
          <w:shd w:val="clear" w:color="auto" w:fill="FFFFFF"/>
        </w:rPr>
        <w:t xml:space="preserve"> results</w:t>
      </w:r>
      <w:r w:rsidRPr="00F56B0D">
        <w:rPr>
          <w:rFonts w:eastAsia="Times New Roman" w:cs="Times New Roman"/>
          <w:color w:val="222222"/>
          <w:shd w:val="clear" w:color="auto" w:fill="FFFFFF"/>
        </w:rPr>
        <w:t>.</w:t>
      </w:r>
      <w:r w:rsidR="00843FDB" w:rsidRPr="00F56B0D">
        <w:rPr>
          <w:rFonts w:eastAsia="Times New Roman" w:cs="Times New Roman"/>
          <w:color w:val="222222"/>
          <w:shd w:val="clear" w:color="auto" w:fill="FFFFFF"/>
        </w:rPr>
        <w:t xml:space="preserve"> </w:t>
      </w:r>
    </w:p>
    <w:p w14:paraId="6F4E33EB" w14:textId="77777777" w:rsidR="0034235D" w:rsidRPr="00F56B0D" w:rsidRDefault="0034235D" w:rsidP="000A0182">
      <w:pPr>
        <w:spacing w:after="0" w:line="240" w:lineRule="auto"/>
        <w:rPr>
          <w:rFonts w:eastAsia="Times New Roman" w:cs="Times New Roman"/>
        </w:rPr>
      </w:pPr>
    </w:p>
    <w:p w14:paraId="5D3DDB63" w14:textId="3EA4BAD5" w:rsidR="00CC340D" w:rsidRDefault="00055B7B" w:rsidP="000A0182">
      <w:pPr>
        <w:spacing w:after="0" w:line="240" w:lineRule="auto"/>
      </w:pPr>
      <w:r>
        <w:rPr>
          <w:rFonts w:eastAsia="Times New Roman" w:cs="Times New Roman"/>
          <w:color w:val="222222"/>
          <w:shd w:val="clear" w:color="auto" w:fill="FFFFFF"/>
        </w:rPr>
        <w:t>For privacy reasons</w:t>
      </w:r>
      <w:r w:rsidR="00B93946" w:rsidRPr="00F56B0D">
        <w:rPr>
          <w:rFonts w:eastAsia="Times New Roman" w:cs="Times New Roman"/>
          <w:color w:val="222222"/>
          <w:shd w:val="clear" w:color="auto" w:fill="FFFFFF"/>
        </w:rPr>
        <w:t xml:space="preserve">, MEPS truncates ICD-9 codes to three digits. </w:t>
      </w:r>
      <w:r w:rsidR="00B93946" w:rsidRPr="00F56B0D">
        <w:t xml:space="preserve">In some cases the truncated </w:t>
      </w:r>
      <w:r w:rsidR="00371C69" w:rsidRPr="00F56B0D">
        <w:t>three</w:t>
      </w:r>
      <w:r w:rsidR="00371C69">
        <w:t>-</w:t>
      </w:r>
      <w:r w:rsidR="00B93946" w:rsidRPr="00F56B0D">
        <w:t>digit ICD</w:t>
      </w:r>
      <w:r w:rsidR="00371C69">
        <w:t>-9</w:t>
      </w:r>
      <w:r w:rsidR="00B93946" w:rsidRPr="00F56B0D">
        <w:t xml:space="preserve"> codes map to a different GBD cause than the full four</w:t>
      </w:r>
      <w:r w:rsidR="00371C69">
        <w:t>-</w:t>
      </w:r>
      <w:r w:rsidR="00B93946" w:rsidRPr="00F56B0D">
        <w:t xml:space="preserve"> or </w:t>
      </w:r>
      <w:r w:rsidR="00371C69" w:rsidRPr="00F56B0D">
        <w:t>five</w:t>
      </w:r>
      <w:r w:rsidR="00371C69">
        <w:t>-</w:t>
      </w:r>
      <w:r w:rsidR="00B93946" w:rsidRPr="00F56B0D">
        <w:t xml:space="preserve">digit code. This </w:t>
      </w:r>
      <w:r w:rsidR="00030E4A" w:rsidRPr="00F56B0D">
        <w:t>could lead</w:t>
      </w:r>
      <w:r w:rsidR="00B93946" w:rsidRPr="00F56B0D">
        <w:t xml:space="preserve"> to</w:t>
      </w:r>
      <w:r w:rsidR="00030E4A" w:rsidRPr="00F56B0D">
        <w:t xml:space="preserve"> </w:t>
      </w:r>
      <w:r w:rsidR="00030E4A" w:rsidRPr="00F56B0D">
        <w:lastRenderedPageBreak/>
        <w:t>misclassification of</w:t>
      </w:r>
      <w:r w:rsidR="00B93946" w:rsidRPr="00F56B0D">
        <w:t xml:space="preserve"> a portion of the encounters. </w:t>
      </w:r>
      <w:r w:rsidR="00323334" w:rsidRPr="00F56B0D">
        <w:t>For some GBD causes</w:t>
      </w:r>
      <w:r w:rsidR="00B93946" w:rsidRPr="00F56B0D">
        <w:t>, such as atrial fibrillation and eating disorders, only full four</w:t>
      </w:r>
      <w:r w:rsidR="00371C69">
        <w:t>-</w:t>
      </w:r>
      <w:r w:rsidR="00B93946" w:rsidRPr="00F56B0D">
        <w:t xml:space="preserve"> and </w:t>
      </w:r>
      <w:r w:rsidR="00371C69" w:rsidRPr="00F56B0D">
        <w:t>five</w:t>
      </w:r>
      <w:r w:rsidR="00371C69">
        <w:t>-</w:t>
      </w:r>
      <w:r w:rsidR="00B93946" w:rsidRPr="00F56B0D">
        <w:t xml:space="preserve">digit codes map to these causes </w:t>
      </w:r>
      <w:r w:rsidR="006B26A7" w:rsidRPr="00F56B0D">
        <w:t>while</w:t>
      </w:r>
      <w:r w:rsidR="00B93946" w:rsidRPr="00F56B0D">
        <w:t xml:space="preserve"> the truncated code maps to something else. Th</w:t>
      </w:r>
      <w:r w:rsidR="006B26A7" w:rsidRPr="00F56B0D">
        <w:t>is means that</w:t>
      </w:r>
      <w:r w:rsidR="00B93946" w:rsidRPr="00F56B0D">
        <w:t xml:space="preserve"> these </w:t>
      </w:r>
      <w:r w:rsidR="006B26A7" w:rsidRPr="00F56B0D">
        <w:t xml:space="preserve">GBD </w:t>
      </w:r>
      <w:r w:rsidR="00B93946" w:rsidRPr="00F56B0D">
        <w:t xml:space="preserve">causes cannot appear in the original MEPS data. To make MEPS diagnoses comparable with NIS diagnoses, which are coded to the full </w:t>
      </w:r>
      <w:r w:rsidR="00371C69" w:rsidRPr="00F56B0D">
        <w:t>five</w:t>
      </w:r>
      <w:r w:rsidR="00371C69">
        <w:t>-</w:t>
      </w:r>
      <w:r w:rsidR="00B93946" w:rsidRPr="00F56B0D">
        <w:t xml:space="preserve">digit form, a probabilistic assignment was performed. The conditional probabilities used in this assignment were calculated using </w:t>
      </w:r>
      <w:r w:rsidR="00030E4A" w:rsidRPr="00F56B0D">
        <w:t>full four</w:t>
      </w:r>
      <w:r w:rsidR="00371C69">
        <w:t>-</w:t>
      </w:r>
      <w:r w:rsidR="00030E4A" w:rsidRPr="00F56B0D">
        <w:t xml:space="preserve"> or </w:t>
      </w:r>
      <w:r w:rsidR="00371C69" w:rsidRPr="00F56B0D">
        <w:t>five</w:t>
      </w:r>
      <w:r w:rsidR="00371C69">
        <w:t>-</w:t>
      </w:r>
      <w:r w:rsidR="00030E4A" w:rsidRPr="00F56B0D">
        <w:t xml:space="preserve">digit codes from </w:t>
      </w:r>
      <w:r w:rsidR="00B93946" w:rsidRPr="00F56B0D">
        <w:t>NIS</w:t>
      </w:r>
      <w:r w:rsidR="00030E4A" w:rsidRPr="00F56B0D">
        <w:t>.</w:t>
      </w:r>
      <w:r w:rsidR="00742699">
        <w:t xml:space="preserve"> Because this process was executed </w:t>
      </w:r>
      <w:r w:rsidR="00E95445">
        <w:t>separately for each bootstrap draw</w:t>
      </w:r>
      <w:r w:rsidR="00E94A6B">
        <w:t>, it resulted i</w:t>
      </w:r>
      <w:r w:rsidR="00E95445">
        <w:t xml:space="preserve">n </w:t>
      </w:r>
      <w:r w:rsidR="00E94A6B">
        <w:t>a</w:t>
      </w:r>
      <w:r w:rsidR="006E7158">
        <w:t>n</w:t>
      </w:r>
      <w:r w:rsidR="00E94A6B">
        <w:t xml:space="preserve"> </w:t>
      </w:r>
      <w:r w:rsidR="005B08E0">
        <w:t>increase in the number of observations in</w:t>
      </w:r>
      <w:r w:rsidR="00742699">
        <w:t xml:space="preserve"> the dataset.</w:t>
      </w:r>
      <w:r w:rsidR="00E90936">
        <w:t xml:space="preserve"> </w:t>
      </w:r>
      <w:r w:rsidR="0021565F">
        <w:t>For one draw, an observation may be assigned one five-digit ICD-9 code. For a separate draw, this same observation may be assigned a different five-digit ICD-9 code, thus increasing the apparent size of the dataset.</w:t>
      </w:r>
    </w:p>
    <w:p w14:paraId="595F695F" w14:textId="77777777" w:rsidR="00CC340D" w:rsidRDefault="00CC340D" w:rsidP="000A0182">
      <w:pPr>
        <w:spacing w:after="0" w:line="240" w:lineRule="auto"/>
      </w:pPr>
    </w:p>
    <w:p w14:paraId="07EEDB0F" w14:textId="4C5A8DA2" w:rsidR="000A4C8F" w:rsidRDefault="000A4C8F" w:rsidP="000A0182">
      <w:pPr>
        <w:spacing w:after="0" w:line="240" w:lineRule="auto"/>
        <w:rPr>
          <w:rFonts w:eastAsia="Times New Roman" w:cs="Times New Roman"/>
          <w:color w:val="222222"/>
          <w:shd w:val="clear" w:color="auto" w:fill="FFFFFF"/>
        </w:rPr>
      </w:pPr>
      <w:r w:rsidRPr="00F56B0D">
        <w:rPr>
          <w:rFonts w:eastAsia="Times New Roman" w:cs="Times New Roman"/>
          <w:color w:val="222222"/>
          <w:shd w:val="clear" w:color="auto" w:fill="FFFFFF"/>
        </w:rPr>
        <w:t>ICD-9 codes injuries using two distinct classifications: N-codes and E-codes. N</w:t>
      </w:r>
      <w:r w:rsidR="00EB0A3E">
        <w:rPr>
          <w:rFonts w:eastAsia="Times New Roman" w:cs="Times New Roman"/>
          <w:color w:val="222222"/>
          <w:shd w:val="clear" w:color="auto" w:fill="FFFFFF"/>
        </w:rPr>
        <w:t>-</w:t>
      </w:r>
      <w:r w:rsidRPr="00F56B0D">
        <w:rPr>
          <w:rFonts w:eastAsia="Times New Roman" w:cs="Times New Roman"/>
          <w:color w:val="222222"/>
          <w:shd w:val="clear" w:color="auto" w:fill="FFFFFF"/>
        </w:rPr>
        <w:t>codes describe the “nature” of the injury, and represent a physician’s diagnosis; e.g. the patient has a joint dislocation or a hip fracture. In contrast, E</w:t>
      </w:r>
      <w:r w:rsidR="00EB0A3E">
        <w:rPr>
          <w:rFonts w:eastAsia="Times New Roman" w:cs="Times New Roman"/>
          <w:color w:val="222222"/>
          <w:shd w:val="clear" w:color="auto" w:fill="FFFFFF"/>
        </w:rPr>
        <w:t>-</w:t>
      </w:r>
      <w:r w:rsidRPr="00F56B0D">
        <w:rPr>
          <w:rFonts w:eastAsia="Times New Roman" w:cs="Times New Roman"/>
          <w:color w:val="222222"/>
          <w:shd w:val="clear" w:color="auto" w:fill="FFFFFF"/>
        </w:rPr>
        <w:t>codes describe the “external” cause of injury, e.g. an automobile accident. The GBD classification system relies on E-codes</w:t>
      </w:r>
      <w:r w:rsidR="0070318C">
        <w:rPr>
          <w:rFonts w:eastAsia="Times New Roman" w:cs="Times New Roman"/>
          <w:color w:val="222222"/>
          <w:shd w:val="clear" w:color="auto" w:fill="FFFFFF"/>
        </w:rPr>
        <w:t xml:space="preserve">, as they are more </w:t>
      </w:r>
      <w:r w:rsidR="00683D13">
        <w:rPr>
          <w:rFonts w:eastAsia="Times New Roman" w:cs="Times New Roman"/>
          <w:color w:val="222222"/>
          <w:shd w:val="clear" w:color="auto" w:fill="FFFFFF"/>
        </w:rPr>
        <w:t xml:space="preserve">easily </w:t>
      </w:r>
      <w:r w:rsidR="00C120FE">
        <w:rPr>
          <w:rFonts w:eastAsia="Times New Roman" w:cs="Times New Roman"/>
          <w:color w:val="222222"/>
          <w:shd w:val="clear" w:color="auto" w:fill="FFFFFF"/>
        </w:rPr>
        <w:t>connected</w:t>
      </w:r>
      <w:r w:rsidR="0070318C">
        <w:rPr>
          <w:rFonts w:eastAsia="Times New Roman" w:cs="Times New Roman"/>
          <w:color w:val="222222"/>
          <w:shd w:val="clear" w:color="auto" w:fill="FFFFFF"/>
        </w:rPr>
        <w:t xml:space="preserve"> to prevention measures and therefore more policy relevant</w:t>
      </w:r>
      <w:r w:rsidRPr="00F56B0D">
        <w:rPr>
          <w:rFonts w:eastAsia="Times New Roman" w:cs="Times New Roman"/>
          <w:color w:val="222222"/>
          <w:shd w:val="clear" w:color="auto" w:fill="FFFFFF"/>
        </w:rPr>
        <w:t xml:space="preserve">. </w:t>
      </w:r>
      <w:r w:rsidR="00490F78" w:rsidRPr="00F56B0D">
        <w:rPr>
          <w:rFonts w:eastAsia="Times New Roman" w:cs="Times New Roman"/>
          <w:color w:val="222222"/>
          <w:shd w:val="clear" w:color="auto" w:fill="FFFFFF"/>
        </w:rPr>
        <w:t>I</w:t>
      </w:r>
      <w:r w:rsidR="00A85C89" w:rsidRPr="00F56B0D">
        <w:rPr>
          <w:rFonts w:eastAsia="Times New Roman" w:cs="Times New Roman"/>
          <w:color w:val="222222"/>
          <w:shd w:val="clear" w:color="auto" w:fill="FFFFFF"/>
        </w:rPr>
        <w:t xml:space="preserve">n order to ensure </w:t>
      </w:r>
      <w:r w:rsidR="00452579">
        <w:rPr>
          <w:rFonts w:eastAsia="Times New Roman" w:cs="Times New Roman"/>
          <w:color w:val="222222"/>
          <w:shd w:val="clear" w:color="auto" w:fill="FFFFFF"/>
        </w:rPr>
        <w:t xml:space="preserve">that </w:t>
      </w:r>
      <w:r w:rsidR="00A85C89" w:rsidRPr="00F56B0D">
        <w:rPr>
          <w:rFonts w:eastAsia="Times New Roman" w:cs="Times New Roman"/>
          <w:color w:val="222222"/>
          <w:shd w:val="clear" w:color="auto" w:fill="FFFFFF"/>
        </w:rPr>
        <w:t xml:space="preserve">spending </w:t>
      </w:r>
      <w:r w:rsidRPr="00F56B0D">
        <w:rPr>
          <w:rFonts w:eastAsia="Times New Roman" w:cs="Times New Roman"/>
          <w:color w:val="222222"/>
          <w:shd w:val="clear" w:color="auto" w:fill="FFFFFF"/>
        </w:rPr>
        <w:t xml:space="preserve">on the treatment of injuries </w:t>
      </w:r>
      <w:r w:rsidR="00A85C89" w:rsidRPr="00F56B0D">
        <w:rPr>
          <w:rFonts w:eastAsia="Times New Roman" w:cs="Times New Roman"/>
          <w:color w:val="222222"/>
          <w:shd w:val="clear" w:color="auto" w:fill="FFFFFF"/>
        </w:rPr>
        <w:t xml:space="preserve">was attributed to </w:t>
      </w:r>
      <w:r w:rsidRPr="00F56B0D">
        <w:rPr>
          <w:rFonts w:eastAsia="Times New Roman" w:cs="Times New Roman"/>
          <w:color w:val="222222"/>
          <w:shd w:val="clear" w:color="auto" w:fill="FFFFFF"/>
        </w:rPr>
        <w:t>GBD</w:t>
      </w:r>
      <w:r w:rsidR="00A85C89" w:rsidRPr="00F56B0D">
        <w:rPr>
          <w:rFonts w:eastAsia="Times New Roman" w:cs="Times New Roman"/>
          <w:color w:val="222222"/>
          <w:shd w:val="clear" w:color="auto" w:fill="FFFFFF"/>
        </w:rPr>
        <w:t xml:space="preserve"> causes, an adjustment was applied to observations with </w:t>
      </w:r>
      <w:r w:rsidR="00D630FE" w:rsidRPr="00F56B0D">
        <w:rPr>
          <w:rFonts w:eastAsia="Times New Roman" w:cs="Times New Roman"/>
          <w:color w:val="222222"/>
          <w:shd w:val="clear" w:color="auto" w:fill="FFFFFF"/>
        </w:rPr>
        <w:t xml:space="preserve">N-code </w:t>
      </w:r>
      <w:r w:rsidR="00A85C89" w:rsidRPr="00F56B0D">
        <w:rPr>
          <w:rFonts w:eastAsia="Times New Roman" w:cs="Times New Roman"/>
          <w:color w:val="222222"/>
          <w:shd w:val="clear" w:color="auto" w:fill="FFFFFF"/>
        </w:rPr>
        <w:t>as primary diagnosis</w:t>
      </w:r>
      <w:r w:rsidR="00C4182B" w:rsidRPr="00F56B0D">
        <w:rPr>
          <w:rFonts w:eastAsia="Times New Roman" w:cs="Times New Roman"/>
          <w:color w:val="222222"/>
          <w:shd w:val="clear" w:color="auto" w:fill="FFFFFF"/>
        </w:rPr>
        <w:t>.</w:t>
      </w:r>
      <w:r w:rsidR="00843FDB" w:rsidRPr="00F56B0D">
        <w:rPr>
          <w:rFonts w:eastAsia="Times New Roman" w:cs="Times New Roman"/>
          <w:color w:val="222222"/>
          <w:shd w:val="clear" w:color="auto" w:fill="FFFFFF"/>
        </w:rPr>
        <w:t xml:space="preserve"> </w:t>
      </w:r>
      <w:r w:rsidRPr="00F56B0D">
        <w:rPr>
          <w:rFonts w:eastAsia="Times New Roman" w:cs="Times New Roman"/>
          <w:color w:val="222222"/>
          <w:shd w:val="clear" w:color="auto" w:fill="FFFFFF"/>
        </w:rPr>
        <w:t xml:space="preserve">The methods used for the injury adjustment were </w:t>
      </w:r>
      <w:r w:rsidR="008D51EC" w:rsidRPr="00F56B0D">
        <w:rPr>
          <w:rFonts w:eastAsia="Times New Roman" w:cs="Times New Roman"/>
          <w:color w:val="222222"/>
          <w:shd w:val="clear" w:color="auto" w:fill="FFFFFF"/>
        </w:rPr>
        <w:t>based off</w:t>
      </w:r>
      <w:r w:rsidRPr="00F56B0D">
        <w:rPr>
          <w:rFonts w:eastAsia="Times New Roman" w:cs="Times New Roman"/>
          <w:color w:val="222222"/>
          <w:shd w:val="clear" w:color="auto" w:fill="FFFFFF"/>
        </w:rPr>
        <w:t xml:space="preserve"> previous work </w:t>
      </w:r>
      <w:r w:rsidR="007A622E">
        <w:rPr>
          <w:rFonts w:eastAsia="Times New Roman" w:cs="Times New Roman"/>
          <w:color w:val="222222"/>
          <w:shd w:val="clear" w:color="auto" w:fill="FFFFFF"/>
        </w:rPr>
        <w:fldChar w:fldCharType="begin"/>
      </w:r>
      <w:r w:rsidR="00B00556">
        <w:rPr>
          <w:rFonts w:eastAsia="Times New Roman" w:cs="Times New Roman"/>
          <w:color w:val="222222"/>
          <w:shd w:val="clear" w:color="auto" w:fill="FFFFFF"/>
        </w:rPr>
        <w:instrText xml:space="preserve"> ADDIN ZOTERO_ITEM CSL_CITATION {"citationID":"YwCGUVwz","properties":{"formattedCitation":"[6]","plainCitation":"[6]"},"citationItems":[{"id":46125,"uris":["http://zotero.org/groups/21876/items/QAZHVH59"],"uri":["http://zotero.org/groups/21876/items/QAZHVH59"],"itemData":{"id":46125,"type":"article-journal","title":"Years lived with disability (YLDs) for 1160 sequelae of 289 diseases and injuries 1990-2010: a systematic analysis for the Global Burden of Disease Study 2010","container-title":"Lancet (London, England)","page":"2163-2196","volume":"380","issue":"9859","source":"PubMed","abstract":"BACKGROUND: Non-fatal health outcomes from diseases and injuries are a crucial consideration in the promotion and monitoring of individual and population health. The Global Burden of Disease (GBD) studies done in 1990 and 2000 have been the only studies to quantify non-fatal health outcomes across an exhaustive set of disorders at the global and regional level. Neither effort quantified uncertainty in prevalence or years lived with disability (YLDs).\nMETHODS: Of the 291 diseases and injuries in the GBD cause list, 289 cause disability. For 1160 sequelae of the 289 diseases and injuries, we undertook a systematic analysis of prevalence, incidence, remission, duration, and excess mortality. Sources included published studies, case notification, population-based cancer registries, other disease registries, antenatal clinic serosurveillance, hospital discharge data, ambulatory care data, household surveys, other surveys, and cohort studies. For most sequelae, we used a Bayesian meta-regression method, DisMod-MR, designed to address key limitations in descriptive epidemiological data, including missing data, inconsistency, and large methodological variation between data sources. For some disorders, we used natural history models, geospatial models, back-calculation models (models calculating incidence from population mortality rates and case fatality), or registration completeness models (models adjusting for incomplete registration with health-system access and other covariates). Disability weights for 220 unique health states were used to capture the severity of health loss. YLDs by cause at age, sex, country, and year levels were adjusted for comorbidity with simulation methods. We included uncertainty estimates at all stages of the analysis.\nFINDINGS: Global prevalence for all ages combined in 2010 across the 1160 sequelae ranged from fewer than one case per 1 million people to 350,000 cases per 1 million people. Prevalence and severity of health loss were weakly correlated (correlation coefficient -0·37). In 2010, there were 777 million YLDs from all causes, up from 583 million in 1990. The main contributors to global YLDs were mental and behavioural disorders, musculoskeletal disorders, and diabetes or endocrine diseases. The leading specific causes of YLDs were much the same in 2010 as they were in 1990: low back pain, major depressive disorder, iron-deficiency anaemia, neck pain, chronic obstructive pulmonary disease, anxiety disorders, migraine, diabetes, and falls. Age-specific prevalence of YLDs increased with age in all regions and has decreased slightly from 1990 to 2010. Regional patterns of the leading causes of YLDs were more similar compared with years of life lost due to premature mortality. Neglected tropical diseases, HIV/AIDS, tuberculosis, malaria, and anaemia were important causes of YLDs in sub-Saharan Africa.\nINTERPRETATION: Rates of YLDs per 100,000 people have remained largely constant over time but rise steadily with age. Population growth and ageing have increased YLD numbers and crude rates over the past two decades. Prevalences of the most common causes of YLDs, such as mental and behavioural disorders and musculoskeletal disorders, have not decreased. Health systems will need to address the needs of the rising numbers of individuals with a range of disorders that largely cause disability but not mortality. Quantification of the burden of non-fatal health outcomes will be crucial to understand how well health systems are responding to these challenges. Effective and affordable strategies to deal with this rising burden are an urgent priority for health systems in most parts of the world.\nFUNDING: Bill &amp; Melinda Gates Foundation.","DOI":"10.1016/S0140-6736(12)61729-2","ISSN":"1474-547X","note":"PMID: 23245607","shortTitle":"Years lived with disability (YLDs) for 1160 sequelae of 289 diseases and injuries 1990-2010","journalAbbreviation":"Lancet","language":"eng","author":[{"family":"Vos","given":"Theo"},{"family":"Flaxman","given":"Abraham D."},{"family":"Naghavi","given":"Mohsen"},{"family":"Lozano","given":"Rafael"},{"family":"Michaud","given":"Catherine"},{"family":"Ezzati","given":"Majid"},{"family":"Shibuya","given":"Kenji"},{"family":"Salomon","given":"Joshua A."},{"family":"Abdalla","given":"Safa"},{"family":"Aboyans","given":"Victor"},{"family":"Abraham","given":"Jerry"},{"family":"Ackerman","given":"Ilana"},{"family":"Aggarwal","given":"Rakesh"},{"family":"Ahn","given":"Stephanie Y."},{"family":"Ali","given":"Mohammed K."},{"family":"Alvarado","given":"Miriam"},{"family":"Anderson","given":"H. Ross"},{"family":"Anderson","given":"Laurie M."},{"family":"Andrews","given":"Kathryn G."},{"family":"Atkinson","given":"Charles"},{"family":"Baddour","given":"Larry M."},{"family":"Bahalim","given":"Adil N."},{"family":"Barker-Collo","given":"Suzanne"},{"family":"Barrero","given":"Lope H."},{"family":"Bartels","given":"David H."},{"family":"Basáñez","given":"Maria-Gloria"},{"family":"Baxter","given":"Amanda"},{"family":"Bell","given":"Michelle L."},{"family":"Benjamin","given":"Emelia J."},{"family":"Bennett","given":"Derrick"},{"family":"Bernabé","given":"Eduardo"},{"family":"Bhalla","given":"Kavi"},{"family":"Bhandari","given":"Bishal"},{"family":"Bikbov","given":"Boris"},{"family":"Bin Abdulhak","given":"Aref"},{"family":"Birbeck","given":"Gretchen"},{"family":"Black","given":"James A."},{"family":"Blencowe","given":"Hannah"},{"family":"Blore","given":"Jed D."},{"family":"Blyth","given":"Fiona"},{"family":"Bolliger","given":"Ian"},{"family":"Bonaventure","given":"Audrey"},{"family":"Boufous","given":"Soufiane"},{"family":"Bourne","given":"Rupert"},{"family":"Boussinesq","given":"Michel"},{"family":"Braithwaite","given":"Tasanee"},{"family":"Brayne","given":"Carol"},{"family":"Bridgett","given":"Lisa"},{"family":"Brooker","given":"Simon"},{"family":"Brooks","given":"Peter"},{"family":"Brugha","given":"Traolach S."},{"family":"Bryan-Hancock","given":"Claire"},{"family":"Bucello","given":"Chiara"},{"family":"Buchbinder","given":"Rachelle"},{"family":"Buckle","given":"Geoffrey"},{"family":"Budke","given":"Christine M."},{"family":"Burch","given":"Michael"},{"family":"Burney","given":"Peter"},{"family":"Burstein","given":"Roy"},{"family":"Calabria","given":"Bianca"},{"family":"Campbell","given":"Benjamin"},{"family":"Canter","given":"Charles E."},{"family":"Carabin","given":"Hélène"},{"family":"Carapetis","given":"Jonathan"},{"family":"Carmona","given":"Loreto"},{"family":"Cella","given":"Claudia"},{"family":"Charlson","given":"Fiona"},{"family":"Chen","given":"Honglei"},{"family":"Cheng","given":"Andrew Tai-Ann"},{"family":"Chou","given":"David"},{"family":"Chugh","given":"Sumeet S."},{"family":"Coffeng","given":"Luc E."},{"family":"Colan","given":"Steven D."},{"family":"Colquhoun","given":"Samantha"},{"family":"Colson","given":"K. Ellicott"},{"family":"Condon","given":"John"},{"family":"Connor","given":"Myles D."},{"family":"Cooper","given":"Leslie T."},{"family":"Corriere","given":"Matthew"},{"family":"Cortinovis","given":"Monica"},{"family":"de Vaccaro","given":"Karen Courville"},{"family":"Couser","given":"William"},{"family":"Cowie","given":"Benjamin C."},{"family":"Criqui","given":"Michael H."},{"family":"Cross","given":"Marita"},{"family":"Dabhadkar","given":"Kaustubh C."},{"family":"Dahiya","given":"Manu"},{"family":"Dahodwala","given":"Nabila"},{"family":"Damsere-Derry","given":"James"},{"family":"Danaei","given":"Goodarz"},{"family":"Davis","given":"Adrian"},{"family":"De Leo","given":"Diego"},{"family":"Degenhardt","given":"Louisa"},{"family":"Dellavalle","given":"Robert"},{"family":"Delossantos","given":"Allyne"},{"family":"Denenberg","given":"Julie"},{"family":"Derrett","given":"Sarah"},{"family":"Des Jarlais","given":"Don C."},{"family":"Dharmaratne","given":"Samath D."},{"family":"Dherani","given":"Mukesh"},{"family":"Diaz-Torne","given":"Cesar"},{"family":"Dolk","given":"Helen"},{"family":"Dorsey","given":"E. Ray"},{"family":"Driscoll","given":"Tim"},{"family":"Duber","given":"Herbert"},{"family":"Ebel","given":"Beth"},{"family":"Edmond","given":"Karen"},{"family":"Elbaz","given":"Alexis"},{"family":"Ali","given":"Suad Eltahir"},{"family":"Erskine","given":"Holly"},{"family":"Erwin","given":"Patricia J."},{"family":"Espindola","given":"Patricia"},{"family":"Ewoigbokhan","given":"Stalin E."},{"family":"Farzadfar","given":"Farshad"},{"family":"Feigin","given":"Valery"},{"family":"Felson","given":"David T."},{"family":"Ferrari","given":"Alize"},{"family":"Ferri","given":"Cleusa P."},{"family":"Fèvre","given":"Eric M."},{"family":"Finucane","given":"Mariel M."},{"family":"Flaxman","given":"Seth"},{"family":"Flood","given":"Louise"},{"family":"Foreman","given":"Kyle"},{"family":"Forouzanfar","given":"Mohammad H."},{"family":"Fowkes","given":"Francis Gerry R."},{"family":"Franklin","given":"Richard"},{"family":"Fransen","given":"Marlene"},{"family":"Freeman","given":"Michael K."},{"family":"Gabbe","given":"Belinda J."},{"family":"Gabriel","given":"Sherine E."},{"family":"Gakidou","given":"Emmanuela"},{"family":"Ganatra","given":"Hammad A."},{"family":"Garcia","given":"Bianca"},{"family":"Gaspari","given":"Flavio"},{"family":"Gillum","given":"Richard F."},{"family":"Gmel","given":"Gerhard"},{"family":"Gosselin","given":"Richard"},{"family":"Grainger","given":"Rebecca"},{"family":"Groeger","given":"Justina"},{"family":"Guillemin","given":"Francis"},{"family":"Gunnell","given":"David"},{"family":"Gupta","given":"Ramyani"},{"family":"Haagsma","given":"Juanita"},{"family":"Hagan","given":"Holly"},{"family":"Halasa","given":"Yara A."},{"family":"Hall","given":"Wayne"},{"family":"Haring","given":"Diana"},{"family":"Haro","given":"Josep Maria"},{"family":"Harrison","given":"James E."},{"family":"Havmoeller","given":"Rasmus"},{"family":"Hay","given":"Roderick J."},{"family":"Higashi","given":"Hideki"},{"family":"Hill","given":"Catherine"},{"family":"Hoen","given":"Bruno"},{"family":"Hoffman","given":"Howard"},{"family":"Hotez","given":"Peter J."},{"family":"Hoy","given":"Damian"},{"family":"Huang","given":"John J."},{"family":"Ibeanusi","given":"Sydney E."},{"family":"Jacobsen","given":"Kathryn H."},{"family":"James","given":"Spencer L."},{"family":"Jarvis","given":"Deborah"},{"family":"Jasrasaria","given":"Rashmi"},{"family":"Jayaraman","given":"Sudha"},{"family":"Johns","given":"Nicole"},{"family":"Jonas","given":"Jost B."},{"family":"Karthikeyan","given":"Ganesan"},{"family":"Kassebaum","given":"Nicholas"},{"family":"Kawakami","given":"Norito"},{"family":"Keren","given":"Andre"},{"family":"Khoo","given":"Jon-Paul"},{"family":"King","given":"Charles H."},{"family":"Knowlton","given":"Lisa Marie"},{"family":"Kobusingye","given":"Olive"},{"family":"Koranteng","given":"Adofo"},{"family":"Krishnamurthi","given":"Rita"},{"family":"Lalloo","given":"Ratilal"},{"family":"Laslett","given":"Laura L."},{"family":"Lathlean","given":"Tim"},{"family":"Leasher","given":"Janet L."},{"family":"Lee","given":"Yong Yi"},{"family":"Leigh","given":"James"},{"family":"Lim","given":"Stephen S."},{"family":"Limb","given":"Elizabeth"},{"family":"Lin","given":"John Kent"},{"family":"Lipnick","given":"Michael"},{"family":"Lipshultz","given":"Steven E."},{"family":"Liu","given":"Wei"},{"family":"Loane","given":"Maria"},{"family":"Ohno","given":"Summer Lockett"},{"family":"Lyons","given":"Ronan"},{"family":"Ma","given":"Jixiang"},{"family":"Mabweijano","given":"Jacqueline"},{"family":"MacIntyre","given":"Michael F."},{"family":"Malekzadeh","given":"Reza"},{"family":"Mallinger","given":"Leslie"},{"family":"Manivannan","given":"Sivabalan"},{"family":"Marcenes","given":"Wagner"},{"family":"March","given":"Lyn"},{"family":"Margolis","given":"David J."},{"family":"Marks","given":"Guy B."},{"family":"Marks","given":"Robin"},{"family":"Matsumori","given":"Akira"},{"family":"Matzopoulos","given":"Richard"},{"family":"Mayosi","given":"Bongani M."},{"family":"McAnulty","given":"John H."},{"family":"McDermott","given":"Mary M."},{"family":"McGill","given":"Neil"},{"family":"McGrath","given":"John"},{"family":"Medina-Mora","given":"Maria Elena"},{"family":"Meltzer","given":"Michele"},{"family":"Mensah","given":"George A."},{"family":"Merriman","given":"Tony R."},{"family":"Meyer","given":"Ana-Claire"},{"family":"Miglioli","given":"Valeria"},{"family":"Miller","given":"Matthew"},{"family":"Miller","given":"Ted R."},{"family":"Mitchell","given":"Philip B."},{"family":"Mocumbi","given":"Ana Olga"},{"family":"Moffitt","given":"Terrie E."},{"family":"Mokdad","given":"Ali A."},{"family":"Monasta","given":"Lorenzo"},{"family":"Montico","given":"Marcella"},{"family":"Moradi-Lakeh","given":"Maziar"},{"family":"Moran","given":"Andrew"},{"family":"Morawska","given":"Lidia"},{"family":"Mori","given":"Rintaro"},{"family":"Murdoch","given":"Michele E."},{"family":"Mwaniki","given":"Michael K."},{"family":"Naidoo","given":"Kovin"},{"family":"Nair","given":"M. Nathan"},{"family":"Naldi","given":"Luigi"},{"family":"Narayan","given":"K. M. Venkat"},{"family":"Nelson","given":"Paul K."},{"family":"Nelson","given":"Robert G."},{"family":"Nevitt","given":"Michael C."},{"family":"Newton","given":"Charles R."},{"family":"Nolte","given":"Sandra"},{"family":"Norman","given":"Paul"},{"family":"Norman","given":"Rosana"},{"family":"O'Donnell","given":"Martin"},{"family":"O'Hanlon","given":"Simon"},{"family":"Olives","given":"Casey"},{"family":"Omer","given":"Saad B."},{"family":"Ortblad","given":"Katrina"},{"family":"Osborne","given":"Richard"},{"family":"Ozgediz","given":"Doruk"},{"family":"Page","given":"Andrew"},{"family":"Pahari","given":"Bishnu"},{"family":"Pandian","given":"Jeyaraj Durai"},{"family":"Rivero","given":"Andrea Panozo"},{"family":"Patten","given":"Scott B."},{"family":"Pearce","given":"Neil"},{"family":"Padilla","given":"Rogelio Perez"},{"family":"Perez-Ruiz","given":"Fernando"},{"family":"Perico","given":"Norberto"},{"family":"Pesudovs","given":"Konrad"},{"family":"Phillips","given":"David"},{"family":"Phillips","given":"Michael R."},{"family":"Pierce","given":"Kelsey"},{"family":"Pion","given":"Sébastien"},{"family":"Polanczyk","given":"Guilherme V."},{"family":"Polinder","given":"Suzanne"},{"family":"Pope","given":"C. Arden"},{"family":"Popova","given":"Svetlana"},{"family":"Porrini","given":"Esteban"},{"family":"Pourmalek","given":"Farshad"},{"family":"Prince","given":"Martin"},{"family":"Pullan","given":"Rachel L."},{"family":"Ramaiah","given":"Kapa D."},{"family":"Ranganathan","given":"Dharani"},{"family":"Razavi","given":"Homie"},{"family":"Regan","given":"Mathilda"},{"family":"Rehm","given":"Jürgen T."},{"family":"Rein","given":"David B."},{"family":"Remuzzi","given":"Guiseppe"},{"family":"Richardson","given":"Kathryn"},{"family":"Rivara","given":"Frederick P."},{"family":"Roberts","given":"Thomas"},{"family":"Robinson","given":"Carolyn"},{"family":"De Leòn","given":"Felipe Rodriguez"},{"family":"Ronfani","given":"Luca"},{"family":"Room","given":"Robin"},{"family":"Rosenfeld","given":"Lisa C."},{"family":"Rushton","given":"Lesley"},{"family":"Sacco","given":"Ralph L."},{"family":"Saha","given":"Sukanta"},{"family":"Sampson","given":"Uchechukwu"},{"family":"Sanchez-Riera","given":"Lidia"},{"family":"Sanman","given":"Ella"},{"family":"Schwebel","given":"David C."},{"family":"Scott","given":"James Graham"},{"family":"Segui-Gomez","given":"Maria"},{"family":"Shahraz","given":"Saeid"},{"family":"Shepard","given":"Donald S."},{"family":"Shin","given":"Hwashin"},{"family":"Shivakoti","given":"Rupak"},{"family":"Singh","given":"David"},{"family":"Singh","given":"Gitanjali M."},{"family":"Singh","given":"Jasvinder A."},{"family":"Singleton","given":"Jessica"},{"family":"Sleet","given":"David A."},{"family":"Sliwa","given":"Karen"},{"family":"Smith","given":"Emma"},{"family":"Smith","given":"Jennifer L."},{"family":"Stapelberg","given":"Nicolas J. C."},{"family":"Steer","given":"Andrew"},{"family":"Steiner","given":"Timothy"},{"family":"Stolk","given":"Wilma A."},{"family":"Stovner","given":"Lars Jacob"},{"family":"Sudfeld","given":"Christopher"},{"family":"Syed","given":"Sana"},{"family":"Tamburlini","given":"Giorgio"},{"family":"Tavakkoli","given":"Mohammad"},{"family":"Taylor","given":"Hugh R."},{"family":"Taylor","given":"Jennifer A."},{"family":"Taylor","given":"William J."},{"family":"Thomas","given":"Bernadette"},{"family":"Thomson","given":"W. Murray"},{"family":"Thurston","given":"George D."},{"family":"Tleyjeh","given":"Imad M."},{"family":"Tonelli","given":"Marcello"},{"family":"Towbin","given":"Jeffrey A."},{"family":"Truelsen","given":"Thomas"},{"family":"Tsilimbaris","given":"Miltiadis K."},{"family":"Ubeda","given":"Clotilde"},{"family":"Undurraga","given":"Eduardo A."},{"family":"van der Werf","given":"Marieke J."},{"family":"van Os","given":"Jim"},{"family":"Vavilala","given":"Monica S."},{"family":"Venketasubramanian","given":"N."},{"family":"Wang","given":"Mengru"},{"family":"Wang","given":"Wenzhi"},{"family":"Watt","given":"Kerrianne"},{"family":"Weatherall","given":"David J."},{"family":"Weinstock","given":"Martin A."},{"family":"Weintraub","given":"Robert"},{"family":"Weisskopf","given":"Marc G."},{"family":"Weissman","given":"Myrna M."},{"family":"White","given":"Richard A."},{"family":"Whiteford","given":"Harvey"},{"family":"Wiersma","given":"Steven T."},{"family":"Wilkinson","given":"James D."},{"family":"Williams","given":"Hywel C."},{"family":"Williams","given":"Sean R. M."},{"family":"Witt","given":"Emma"},{"family":"Wolfe","given":"Frederick"},{"family":"Woolf","given":"Anthony D."},{"family":"Wulf","given":"Sarah"},{"family":"Yeh","given":"Pon-Hsiu"},{"family":"Zaidi","given":"Anita K. M."},{"family":"Zheng","given":"Zhi-Jie"},{"family":"Zonies","given":"David"},{"family":"Lopez","given":"Alan D."},{"family":"Murray","given":"Christopher J. L."},{"family":"AlMazroa","given":"Mohammad A."},{"family":"Memish","given":"Ziad A."}],"issued":{"date-parts":[["2012",12,15]]},"PMID":"23245607"}}],"schema":"https://github.com/citation-style-language/schema/raw/master/csl-citation.json"} </w:instrText>
      </w:r>
      <w:r w:rsidR="007A622E">
        <w:rPr>
          <w:rFonts w:eastAsia="Times New Roman" w:cs="Times New Roman"/>
          <w:color w:val="222222"/>
          <w:shd w:val="clear" w:color="auto" w:fill="FFFFFF"/>
        </w:rPr>
        <w:fldChar w:fldCharType="separate"/>
      </w:r>
      <w:r w:rsidR="00B00556" w:rsidRPr="00B00556">
        <w:rPr>
          <w:rFonts w:ascii="Calibri" w:hAnsi="Calibri"/>
        </w:rPr>
        <w:t>[6]</w:t>
      </w:r>
      <w:r w:rsidR="007A622E">
        <w:rPr>
          <w:rFonts w:eastAsia="Times New Roman" w:cs="Times New Roman"/>
          <w:color w:val="222222"/>
          <w:shd w:val="clear" w:color="auto" w:fill="FFFFFF"/>
        </w:rPr>
        <w:fldChar w:fldCharType="end"/>
      </w:r>
      <w:r w:rsidRPr="00F56B0D">
        <w:rPr>
          <w:rFonts w:eastAsia="Times New Roman" w:cs="Times New Roman"/>
          <w:color w:val="222222"/>
          <w:shd w:val="clear" w:color="auto" w:fill="FFFFFF"/>
        </w:rPr>
        <w:t>.  In both MEPS and NIS, E</w:t>
      </w:r>
      <w:r w:rsidR="00EB0A3E">
        <w:rPr>
          <w:rFonts w:eastAsia="Times New Roman" w:cs="Times New Roman"/>
          <w:color w:val="222222"/>
          <w:shd w:val="clear" w:color="auto" w:fill="FFFFFF"/>
        </w:rPr>
        <w:t>-</w:t>
      </w:r>
      <w:r w:rsidRPr="00F56B0D">
        <w:rPr>
          <w:rFonts w:eastAsia="Times New Roman" w:cs="Times New Roman"/>
          <w:color w:val="222222"/>
          <w:shd w:val="clear" w:color="auto" w:fill="FFFFFF"/>
        </w:rPr>
        <w:t>codes were filled in for observations that had only an N</w:t>
      </w:r>
      <w:r w:rsidR="00EB0A3E">
        <w:rPr>
          <w:rFonts w:eastAsia="Times New Roman" w:cs="Times New Roman"/>
          <w:color w:val="222222"/>
          <w:shd w:val="clear" w:color="auto" w:fill="FFFFFF"/>
        </w:rPr>
        <w:t>-</w:t>
      </w:r>
      <w:r w:rsidRPr="00F56B0D">
        <w:rPr>
          <w:rFonts w:eastAsia="Times New Roman" w:cs="Times New Roman"/>
          <w:color w:val="222222"/>
          <w:shd w:val="clear" w:color="auto" w:fill="FFFFFF"/>
        </w:rPr>
        <w:t>code reported. First, injury map</w:t>
      </w:r>
      <w:r w:rsidR="005A4262" w:rsidRPr="00F56B0D">
        <w:rPr>
          <w:rFonts w:eastAsia="Times New Roman" w:cs="Times New Roman"/>
          <w:color w:val="222222"/>
          <w:shd w:val="clear" w:color="auto" w:fill="FFFFFF"/>
        </w:rPr>
        <w:t>s</w:t>
      </w:r>
      <w:r w:rsidRPr="00F56B0D">
        <w:rPr>
          <w:rFonts w:eastAsia="Times New Roman" w:cs="Times New Roman"/>
          <w:color w:val="222222"/>
          <w:shd w:val="clear" w:color="auto" w:fill="FFFFFF"/>
        </w:rPr>
        <w:t xml:space="preserve"> </w:t>
      </w:r>
      <w:r w:rsidR="005A4262" w:rsidRPr="00F56B0D">
        <w:rPr>
          <w:rFonts w:eastAsia="Times New Roman" w:cs="Times New Roman"/>
          <w:color w:val="222222"/>
          <w:shd w:val="clear" w:color="auto" w:fill="FFFFFF"/>
        </w:rPr>
        <w:t xml:space="preserve">were </w:t>
      </w:r>
      <w:r w:rsidRPr="00F56B0D">
        <w:rPr>
          <w:rFonts w:eastAsia="Times New Roman" w:cs="Times New Roman"/>
          <w:color w:val="222222"/>
          <w:shd w:val="clear" w:color="auto" w:fill="FFFFFF"/>
        </w:rPr>
        <w:t>created from NIS data. The map</w:t>
      </w:r>
      <w:r w:rsidR="005A4262" w:rsidRPr="00F56B0D">
        <w:rPr>
          <w:rFonts w:eastAsia="Times New Roman" w:cs="Times New Roman"/>
          <w:color w:val="222222"/>
          <w:shd w:val="clear" w:color="auto" w:fill="FFFFFF"/>
        </w:rPr>
        <w:t>s</w:t>
      </w:r>
      <w:r w:rsidRPr="00F56B0D">
        <w:rPr>
          <w:rFonts w:eastAsia="Times New Roman" w:cs="Times New Roman"/>
          <w:color w:val="222222"/>
          <w:shd w:val="clear" w:color="auto" w:fill="FFFFFF"/>
        </w:rPr>
        <w:t xml:space="preserve"> contain the conditional probability of </w:t>
      </w:r>
      <w:r w:rsidR="008D51EC" w:rsidRPr="00F56B0D">
        <w:rPr>
          <w:rFonts w:eastAsia="Times New Roman" w:cs="Times New Roman"/>
          <w:color w:val="222222"/>
          <w:shd w:val="clear" w:color="auto" w:fill="FFFFFF"/>
        </w:rPr>
        <w:t xml:space="preserve">a </w:t>
      </w:r>
      <w:r w:rsidR="005B6D82">
        <w:rPr>
          <w:rFonts w:eastAsia="Times New Roman" w:cs="Times New Roman"/>
          <w:color w:val="222222"/>
          <w:shd w:val="clear" w:color="auto" w:fill="FFFFFF"/>
        </w:rPr>
        <w:t xml:space="preserve">patient </w:t>
      </w:r>
      <w:r w:rsidRPr="00F56B0D">
        <w:rPr>
          <w:rFonts w:eastAsia="Times New Roman" w:cs="Times New Roman"/>
          <w:color w:val="222222"/>
          <w:shd w:val="clear" w:color="auto" w:fill="FFFFFF"/>
        </w:rPr>
        <w:t>having a particular E</w:t>
      </w:r>
      <w:r w:rsidR="00EB0A3E">
        <w:rPr>
          <w:rFonts w:eastAsia="Times New Roman" w:cs="Times New Roman"/>
          <w:color w:val="222222"/>
          <w:shd w:val="clear" w:color="auto" w:fill="FFFFFF"/>
        </w:rPr>
        <w:t>-</w:t>
      </w:r>
      <w:r w:rsidRPr="00F56B0D">
        <w:rPr>
          <w:rFonts w:eastAsia="Times New Roman" w:cs="Times New Roman"/>
          <w:color w:val="222222"/>
          <w:shd w:val="clear" w:color="auto" w:fill="FFFFFF"/>
        </w:rPr>
        <w:t xml:space="preserve">code, </w:t>
      </w:r>
      <w:r w:rsidR="005A4262" w:rsidRPr="00F56B0D">
        <w:rPr>
          <w:rFonts w:eastAsia="Times New Roman" w:cs="Times New Roman"/>
          <w:color w:val="222222"/>
          <w:shd w:val="clear" w:color="auto" w:fill="FFFFFF"/>
        </w:rPr>
        <w:t>given that they were assigned</w:t>
      </w:r>
      <w:r w:rsidRPr="00F56B0D">
        <w:rPr>
          <w:rFonts w:eastAsia="Times New Roman" w:cs="Times New Roman"/>
          <w:color w:val="222222"/>
          <w:shd w:val="clear" w:color="auto" w:fill="FFFFFF"/>
        </w:rPr>
        <w:t xml:space="preserve"> a specific N-code. </w:t>
      </w:r>
      <w:r w:rsidR="005A4262" w:rsidRPr="00F56B0D">
        <w:rPr>
          <w:rFonts w:eastAsia="Times New Roman" w:cs="Times New Roman"/>
          <w:color w:val="222222"/>
          <w:shd w:val="clear" w:color="auto" w:fill="FFFFFF"/>
        </w:rPr>
        <w:t>The most detailed version contains probabilities that are age and sex specific, the middle version is only age specific, and the least detailed version has generic probabilities using all N-code and E-code combinations found in NIS. Cycling through these maps from most to least detail</w:t>
      </w:r>
      <w:r w:rsidR="006B41CD" w:rsidRPr="00F56B0D">
        <w:rPr>
          <w:rFonts w:eastAsia="Times New Roman" w:cs="Times New Roman"/>
          <w:color w:val="222222"/>
          <w:shd w:val="clear" w:color="auto" w:fill="FFFFFF"/>
        </w:rPr>
        <w:t>ed</w:t>
      </w:r>
      <w:r w:rsidR="005A4262" w:rsidRPr="00F56B0D">
        <w:rPr>
          <w:rFonts w:eastAsia="Times New Roman" w:cs="Times New Roman"/>
          <w:color w:val="222222"/>
          <w:shd w:val="clear" w:color="auto" w:fill="FFFFFF"/>
        </w:rPr>
        <w:t xml:space="preserve">, </w:t>
      </w:r>
      <w:r w:rsidRPr="00F56B0D">
        <w:rPr>
          <w:rFonts w:eastAsia="Times New Roman" w:cs="Times New Roman"/>
          <w:color w:val="222222"/>
          <w:shd w:val="clear" w:color="auto" w:fill="FFFFFF"/>
        </w:rPr>
        <w:t>each observation with an N-code but no E-code was assigned an E-code according to these conditional probabilities.   </w:t>
      </w:r>
      <w:r w:rsidRPr="00F56B0D" w:rsidDel="009D0D57">
        <w:rPr>
          <w:rFonts w:eastAsia="Times New Roman" w:cs="Times New Roman"/>
          <w:color w:val="222222"/>
          <w:shd w:val="clear" w:color="auto" w:fill="FFFFFF"/>
        </w:rPr>
        <w:t xml:space="preserve"> </w:t>
      </w:r>
    </w:p>
    <w:p w14:paraId="23FA6A45" w14:textId="77777777" w:rsidR="00371C69" w:rsidRDefault="00371C69" w:rsidP="000A0182">
      <w:pPr>
        <w:spacing w:after="0" w:line="240" w:lineRule="auto"/>
        <w:rPr>
          <w:rFonts w:eastAsia="Times New Roman" w:cs="Times New Roman"/>
          <w:color w:val="222222"/>
          <w:shd w:val="clear" w:color="auto" w:fill="FFFFFF"/>
        </w:rPr>
      </w:pPr>
    </w:p>
    <w:p w14:paraId="79730E1D" w14:textId="77777777" w:rsidR="00B3019D" w:rsidRDefault="00B3019D" w:rsidP="00FF18CE">
      <w:pPr>
        <w:pStyle w:val="Heading3"/>
      </w:pPr>
      <w:r>
        <w:t>Years</w:t>
      </w:r>
    </w:p>
    <w:p w14:paraId="14825AE9" w14:textId="5F7B92C7" w:rsidR="00F56B0D" w:rsidRPr="00F56B0D" w:rsidRDefault="00371C69" w:rsidP="000A0182">
      <w:pPr>
        <w:spacing w:after="0" w:line="240" w:lineRule="auto"/>
        <w:rPr>
          <w:rFonts w:eastAsia="Times New Roman" w:cs="Times New Roman"/>
          <w:color w:val="222222"/>
          <w:shd w:val="clear" w:color="auto" w:fill="FFFFFF"/>
        </w:rPr>
      </w:pPr>
      <w:r w:rsidRPr="00F56B0D">
        <w:t xml:space="preserve">Due to relatively small sample size and the possibility of missing rare causes of </w:t>
      </w:r>
      <w:r w:rsidR="006F193C">
        <w:t>healthcare encounters</w:t>
      </w:r>
      <w:r w:rsidRPr="00F56B0D">
        <w:t>, a moving average approach was used for MEPS, such that data from each year was added to the annual estimates for that year as well as the adjacent years before and after. As a consequence, our 1997 estimates include data from 1996 and 1998, and trends over time are measured to be more gradual.</w:t>
      </w:r>
      <w:r w:rsidR="00FF18CE">
        <w:t xml:space="preserve"> </w:t>
      </w:r>
      <w:r w:rsidR="00FF18CE" w:rsidRPr="00FF18CE">
        <w:t xml:space="preserve"> </w:t>
      </w:r>
      <w:r w:rsidR="00FF18CE" w:rsidRPr="00F56B0D">
        <w:t>This approach is similar to what is recommended by the AHRQ and methods used by Dunn and colleagues at the US Bureau of Economic Analysis</w:t>
      </w:r>
      <w:r w:rsidR="007A622E">
        <w:t xml:space="preserve"> </w:t>
      </w:r>
      <w:r w:rsidR="007A622E">
        <w:fldChar w:fldCharType="begin"/>
      </w:r>
      <w:r w:rsidR="007A622E">
        <w:instrText xml:space="preserve"> ADDIN ZOTERO_ITEM CSL_CITATION {"citationID":"hGS00ZnN","properties":{"formattedCitation":"[1]","plainCitation":"[1]"},"citationItems":[{"id":46134,"uris":["http://zotero.org/groups/21876/items/GES8JN7W"],"uri":["http://zotero.org/groups/21876/items/GES8JN7W"],"itemData":{"id":46134,"type":"article-journal","title":"An Examination of State Estimates Using Multiple Years of Data from the Medical Expenditure Panel Survey, Household Component","container-title":"Agency for Healthcare Research and Quality","volume":"Working Paper","issue":"No. 06004","URL":"http://meps.ahrq.gov/mepsweb/data_files/publications/workingpapers/wp_06004.pdf","author":[{"family":"Sommers","given":"John"}],"issued":{"date-parts":[["2006",5]]}}}],"schema":"https://github.com/citation-style-language/schema/raw/master/csl-citation.json"} </w:instrText>
      </w:r>
      <w:r w:rsidR="007A622E">
        <w:fldChar w:fldCharType="separate"/>
      </w:r>
      <w:r w:rsidR="007A622E" w:rsidRPr="007A622E">
        <w:rPr>
          <w:rFonts w:ascii="Calibri" w:hAnsi="Calibri"/>
        </w:rPr>
        <w:t>[1]</w:t>
      </w:r>
      <w:r w:rsidR="007A622E">
        <w:fldChar w:fldCharType="end"/>
      </w:r>
      <w:r w:rsidR="00FF18CE">
        <w:t xml:space="preserve">. </w:t>
      </w:r>
    </w:p>
    <w:p w14:paraId="29E0D20F" w14:textId="77777777" w:rsidR="00843FDB" w:rsidRPr="00F56B0D" w:rsidRDefault="00843FDB" w:rsidP="00F56B0D">
      <w:pPr>
        <w:pStyle w:val="Heading1"/>
        <w:rPr>
          <w:rFonts w:ascii="Calibri Light" w:hAnsi="Calibri Light"/>
          <w:b w:val="0"/>
          <w:sz w:val="26"/>
          <w:szCs w:val="26"/>
        </w:rPr>
      </w:pPr>
      <w:r w:rsidRPr="00F56B0D">
        <w:rPr>
          <w:rFonts w:ascii="Calibri Light" w:hAnsi="Calibri Light"/>
          <w:b w:val="0"/>
          <w:sz w:val="26"/>
          <w:szCs w:val="26"/>
        </w:rPr>
        <w:t>Charges-to-payments regression</w:t>
      </w:r>
    </w:p>
    <w:p w14:paraId="2E322D8A" w14:textId="0AE9CFC9" w:rsidR="007769DE" w:rsidRPr="00F56B0D" w:rsidRDefault="00BD3282" w:rsidP="000A0182">
      <w:pPr>
        <w:spacing w:after="0" w:line="240" w:lineRule="auto"/>
        <w:rPr>
          <w:rFonts w:eastAsia="Times New Roman" w:cs="Times New Roman"/>
          <w:color w:val="000000"/>
        </w:rPr>
      </w:pPr>
      <w:r w:rsidRPr="00F56B0D">
        <w:rPr>
          <w:rFonts w:eastAsia="Times New Roman" w:cs="Times New Roman"/>
          <w:color w:val="000000"/>
        </w:rPr>
        <w:t>P</w:t>
      </w:r>
      <w:r w:rsidR="00843FDB" w:rsidRPr="00F56B0D">
        <w:rPr>
          <w:rFonts w:eastAsia="Times New Roman" w:cs="Times New Roman"/>
          <w:color w:val="000000"/>
        </w:rPr>
        <w:t xml:space="preserve">ayments </w:t>
      </w:r>
      <w:r w:rsidRPr="00F56B0D">
        <w:rPr>
          <w:rFonts w:eastAsia="Times New Roman" w:cs="Times New Roman"/>
          <w:color w:val="000000"/>
        </w:rPr>
        <w:t xml:space="preserve">were divided by </w:t>
      </w:r>
      <w:r w:rsidR="00843FDB" w:rsidRPr="00F56B0D">
        <w:rPr>
          <w:rFonts w:eastAsia="Times New Roman" w:cs="Times New Roman"/>
          <w:color w:val="000000"/>
        </w:rPr>
        <w:t xml:space="preserve">charges </w:t>
      </w:r>
      <w:r w:rsidRPr="00F56B0D">
        <w:rPr>
          <w:rFonts w:eastAsia="Times New Roman" w:cs="Times New Roman"/>
          <w:color w:val="000000"/>
        </w:rPr>
        <w:t>to</w:t>
      </w:r>
      <w:r w:rsidR="007769DE" w:rsidRPr="00F56B0D">
        <w:rPr>
          <w:rFonts w:eastAsia="Times New Roman" w:cs="Times New Roman"/>
          <w:color w:val="000000"/>
        </w:rPr>
        <w:t xml:space="preserve"> </w:t>
      </w:r>
      <w:r w:rsidRPr="00F56B0D">
        <w:rPr>
          <w:rFonts w:eastAsia="Times New Roman" w:cs="Times New Roman"/>
          <w:color w:val="000000"/>
        </w:rPr>
        <w:t xml:space="preserve">produce </w:t>
      </w:r>
      <w:r w:rsidR="007769DE" w:rsidRPr="00F56B0D">
        <w:rPr>
          <w:rFonts w:eastAsia="Times New Roman" w:cs="Times New Roman"/>
          <w:color w:val="000000"/>
        </w:rPr>
        <w:t xml:space="preserve">patient-level </w:t>
      </w:r>
      <w:r w:rsidRPr="00F56B0D">
        <w:rPr>
          <w:rFonts w:eastAsia="Times New Roman" w:cs="Times New Roman"/>
          <w:color w:val="000000"/>
        </w:rPr>
        <w:t>payment ratios for analysis</w:t>
      </w:r>
      <w:r w:rsidR="00843FDB" w:rsidRPr="00F56B0D">
        <w:rPr>
          <w:rFonts w:eastAsia="Times New Roman" w:cs="Times New Roman"/>
          <w:color w:val="000000"/>
        </w:rPr>
        <w:t>.</w:t>
      </w:r>
      <w:r w:rsidR="00441718" w:rsidRPr="00F56B0D">
        <w:rPr>
          <w:rFonts w:eastAsia="Times New Roman" w:cs="Times New Roman"/>
          <w:color w:val="000000"/>
        </w:rPr>
        <w:t xml:space="preserve"> Observations</w:t>
      </w:r>
      <w:r w:rsidR="004812A2" w:rsidRPr="00F56B0D">
        <w:rPr>
          <w:rFonts w:eastAsia="Times New Roman" w:cs="Times New Roman"/>
          <w:color w:val="000000"/>
        </w:rPr>
        <w:t xml:space="preserve"> </w:t>
      </w:r>
      <w:r w:rsidR="00843FDB" w:rsidRPr="00F56B0D">
        <w:rPr>
          <w:rFonts w:eastAsia="Times New Roman" w:cs="Times New Roman"/>
          <w:color w:val="000000"/>
        </w:rPr>
        <w:t>in which payments were greater than charges (</w:t>
      </w:r>
      <w:r w:rsidR="00D70F1F" w:rsidRPr="00F56B0D">
        <w:rPr>
          <w:rFonts w:eastAsia="Times New Roman" w:cs="Times New Roman"/>
          <w:color w:val="000000"/>
        </w:rPr>
        <w:t>2.</w:t>
      </w:r>
      <w:r w:rsidR="00843FDB" w:rsidRPr="00F56B0D">
        <w:rPr>
          <w:rFonts w:eastAsia="Times New Roman" w:cs="Times New Roman"/>
          <w:color w:val="000000"/>
        </w:rPr>
        <w:t xml:space="preserve">2% of </w:t>
      </w:r>
      <w:r w:rsidR="00441718" w:rsidRPr="00F56B0D">
        <w:rPr>
          <w:rFonts w:eastAsia="Times New Roman" w:cs="Times New Roman"/>
          <w:color w:val="000000"/>
        </w:rPr>
        <w:t>total</w:t>
      </w:r>
      <w:r w:rsidR="00843FDB" w:rsidRPr="00F56B0D">
        <w:rPr>
          <w:rFonts w:eastAsia="Times New Roman" w:cs="Times New Roman"/>
          <w:color w:val="000000"/>
        </w:rPr>
        <w:t>) were considered to be errors, and charges were re-coded to be equal to payments.</w:t>
      </w:r>
      <w:r w:rsidR="009D0D57" w:rsidRPr="00F56B0D">
        <w:rPr>
          <w:rFonts w:eastAsia="Times New Roman" w:cs="Times New Roman"/>
          <w:color w:val="000000"/>
        </w:rPr>
        <w:t xml:space="preserve"> To test this assumption, we ran a sensitivity analysis, described in</w:t>
      </w:r>
      <w:r w:rsidR="002377BD">
        <w:rPr>
          <w:rFonts w:eastAsia="Times New Roman" w:cs="Times New Roman"/>
          <w:color w:val="000000"/>
        </w:rPr>
        <w:t xml:space="preserve"> the</w:t>
      </w:r>
      <w:r w:rsidR="007769DE" w:rsidRPr="00F56B0D">
        <w:rPr>
          <w:rFonts w:eastAsia="Times New Roman" w:cs="Times New Roman"/>
          <w:color w:val="000000"/>
        </w:rPr>
        <w:t xml:space="preserve"> fifth section of this appendix</w:t>
      </w:r>
      <w:r w:rsidR="009D0D57" w:rsidRPr="00F56B0D">
        <w:rPr>
          <w:rFonts w:eastAsia="Times New Roman" w:cs="Times New Roman"/>
          <w:color w:val="000000"/>
        </w:rPr>
        <w:t>.</w:t>
      </w:r>
      <w:r w:rsidR="00843FDB" w:rsidRPr="00F56B0D">
        <w:rPr>
          <w:rFonts w:eastAsia="Times New Roman" w:cs="Times New Roman"/>
          <w:color w:val="000000"/>
        </w:rPr>
        <w:t xml:space="preserve"> </w:t>
      </w:r>
      <w:r w:rsidR="007769DE" w:rsidRPr="00F56B0D">
        <w:rPr>
          <w:rFonts w:eastAsia="Times New Roman" w:cs="Times New Roman"/>
        </w:rPr>
        <w:t xml:space="preserve">Throughout this analysis we stratify the payment ratio by payer, cause, and year, but not by age or sex. </w:t>
      </w:r>
      <w:r w:rsidR="00457516">
        <w:rPr>
          <w:rFonts w:eastAsia="Times New Roman" w:cs="Times New Roman"/>
        </w:rPr>
        <w:t>We explored all of these demographics as possible variables and found</w:t>
      </w:r>
      <w:r w:rsidR="007769DE" w:rsidRPr="00F56B0D">
        <w:rPr>
          <w:rFonts w:eastAsia="Times New Roman" w:cs="Times New Roman"/>
        </w:rPr>
        <w:t xml:space="preserve"> that the payment ratio does not </w:t>
      </w:r>
      <w:r w:rsidR="00D630FE" w:rsidRPr="00F56B0D">
        <w:rPr>
          <w:rFonts w:eastAsia="Times New Roman" w:cs="Times New Roman"/>
        </w:rPr>
        <w:t xml:space="preserve">vary </w:t>
      </w:r>
      <w:r w:rsidR="007769DE" w:rsidRPr="00F56B0D">
        <w:rPr>
          <w:rFonts w:eastAsia="Times New Roman" w:cs="Times New Roman"/>
        </w:rPr>
        <w:t>systematically across age or se</w:t>
      </w:r>
      <w:r w:rsidR="00D630FE" w:rsidRPr="00F56B0D">
        <w:rPr>
          <w:rFonts w:eastAsia="Times New Roman" w:cs="Times New Roman"/>
        </w:rPr>
        <w:t>x</w:t>
      </w:r>
      <w:r w:rsidR="007769DE" w:rsidRPr="00F56B0D">
        <w:rPr>
          <w:rFonts w:eastAsia="Times New Roman" w:cs="Times New Roman"/>
        </w:rPr>
        <w:t>.</w:t>
      </w:r>
      <w:r w:rsidR="002377BD">
        <w:rPr>
          <w:rFonts w:eastAsia="Times New Roman" w:cs="Times New Roman"/>
        </w:rPr>
        <w:t xml:space="preserve"> </w:t>
      </w:r>
      <w:r w:rsidR="00457516">
        <w:rPr>
          <w:rFonts w:eastAsia="Times New Roman" w:cs="Times New Roman"/>
        </w:rPr>
        <w:t>For sex, t</w:t>
      </w:r>
      <w:r w:rsidR="007769DE" w:rsidRPr="00F56B0D">
        <w:rPr>
          <w:rFonts w:eastAsia="Times New Roman" w:cs="Times New Roman"/>
        </w:rPr>
        <w:t>he average payment ratio was calculated for every age, sex, year, payer</w:t>
      </w:r>
      <w:r w:rsidR="006B41CD" w:rsidRPr="00F56B0D">
        <w:rPr>
          <w:rFonts w:eastAsia="Times New Roman" w:cs="Times New Roman"/>
        </w:rPr>
        <w:t>,</w:t>
      </w:r>
      <w:r w:rsidR="007769DE" w:rsidRPr="00F56B0D">
        <w:rPr>
          <w:rFonts w:eastAsia="Times New Roman" w:cs="Times New Roman"/>
        </w:rPr>
        <w:t xml:space="preserve"> and cause combination. Averages that had the same age, year, payer</w:t>
      </w:r>
      <w:r w:rsidR="002377BD">
        <w:rPr>
          <w:rFonts w:eastAsia="Times New Roman" w:cs="Times New Roman"/>
        </w:rPr>
        <w:t>,</w:t>
      </w:r>
      <w:r w:rsidR="007769DE" w:rsidRPr="00F56B0D">
        <w:rPr>
          <w:rFonts w:eastAsia="Times New Roman" w:cs="Times New Roman"/>
        </w:rPr>
        <w:t xml:space="preserve"> and cause but different sex were then paired. The difference between the matched payment ratios was taken for each pairing</w:t>
      </w:r>
      <w:r w:rsidR="006B41CD" w:rsidRPr="00F56B0D">
        <w:rPr>
          <w:rFonts w:eastAsia="Times New Roman" w:cs="Times New Roman"/>
        </w:rPr>
        <w:t xml:space="preserve">, and </w:t>
      </w:r>
      <w:r w:rsidR="00F94A40">
        <w:rPr>
          <w:rFonts w:eastAsia="Times New Roman" w:cs="Times New Roman"/>
        </w:rPr>
        <w:t>Fig S2</w:t>
      </w:r>
      <w:r w:rsidR="006B41CD" w:rsidRPr="00F56B0D">
        <w:rPr>
          <w:rFonts w:eastAsia="Times New Roman" w:cs="Times New Roman"/>
        </w:rPr>
        <w:t xml:space="preserve"> shows a histogram of these values</w:t>
      </w:r>
      <w:r w:rsidR="007769DE" w:rsidRPr="00F56B0D">
        <w:rPr>
          <w:rFonts w:eastAsia="Times New Roman" w:cs="Times New Roman"/>
        </w:rPr>
        <w:t>. T</w:t>
      </w:r>
      <w:r w:rsidR="006B41CD" w:rsidRPr="00F56B0D">
        <w:rPr>
          <w:rFonts w:eastAsia="Times New Roman" w:cs="Times New Roman"/>
        </w:rPr>
        <w:t xml:space="preserve">he </w:t>
      </w:r>
      <w:r w:rsidR="007769DE" w:rsidRPr="00F56B0D">
        <w:rPr>
          <w:rFonts w:eastAsia="Times New Roman" w:cs="Times New Roman"/>
        </w:rPr>
        <w:t xml:space="preserve">symmetrical distribution of these differences </w:t>
      </w:r>
      <w:r w:rsidR="006B41CD" w:rsidRPr="00F56B0D">
        <w:rPr>
          <w:rFonts w:eastAsia="Times New Roman" w:cs="Times New Roman"/>
        </w:rPr>
        <w:t xml:space="preserve">suggests </w:t>
      </w:r>
      <w:r w:rsidR="007769DE" w:rsidRPr="00F56B0D">
        <w:rPr>
          <w:rFonts w:eastAsia="Times New Roman" w:cs="Times New Roman"/>
        </w:rPr>
        <w:t xml:space="preserve">that sex is unimportant in determining payment ratios. </w:t>
      </w:r>
      <w:r w:rsidR="00457516">
        <w:rPr>
          <w:rFonts w:eastAsia="Times New Roman" w:cs="Times New Roman"/>
        </w:rPr>
        <w:t>For age, we examined</w:t>
      </w:r>
      <w:r w:rsidR="007769DE" w:rsidRPr="00F56B0D">
        <w:rPr>
          <w:rFonts w:eastAsia="Times New Roman" w:cs="Times New Roman"/>
        </w:rPr>
        <w:t xml:space="preserve"> the payment ratios for public payer plotted against age for three causes. </w:t>
      </w:r>
      <w:r w:rsidR="00F94A40">
        <w:rPr>
          <w:rFonts w:eastAsia="Times New Roman" w:cs="Times New Roman"/>
        </w:rPr>
        <w:lastRenderedPageBreak/>
        <w:t>Fig S3</w:t>
      </w:r>
      <w:r w:rsidR="007769DE" w:rsidRPr="00F56B0D">
        <w:rPr>
          <w:rFonts w:eastAsia="Times New Roman" w:cs="Times New Roman"/>
        </w:rPr>
        <w:t xml:space="preserve"> shows there is no apparent trend in the payment ratio across the age profile. Similar plots assess systematic variation across the age profile for other causes and payers confirm this observation.</w:t>
      </w:r>
    </w:p>
    <w:p w14:paraId="6A485446" w14:textId="77777777" w:rsidR="00704313" w:rsidRDefault="00704313" w:rsidP="000A0182">
      <w:pPr>
        <w:spacing w:after="0" w:line="240" w:lineRule="auto"/>
        <w:rPr>
          <w:rFonts w:eastAsia="Times New Roman" w:cs="Times New Roman"/>
          <w:color w:val="000000"/>
        </w:rPr>
      </w:pPr>
    </w:p>
    <w:p w14:paraId="0A441710" w14:textId="778DF04B" w:rsidR="001B1070" w:rsidRDefault="001B1070" w:rsidP="001B1070">
      <w:pPr>
        <w:spacing w:after="0" w:line="240" w:lineRule="auto"/>
        <w:rPr>
          <w:rFonts w:ascii="Calibri" w:eastAsia="Times New Roman" w:hAnsi="Calibri" w:cs="Times New Roman"/>
          <w:b/>
          <w:color w:val="000000"/>
        </w:rPr>
      </w:pPr>
      <w:r w:rsidRPr="001B1070">
        <w:rPr>
          <w:rFonts w:ascii="Calibri" w:eastAsia="Times New Roman" w:hAnsi="Calibri" w:cs="Times New Roman"/>
          <w:b/>
          <w:color w:val="000000"/>
        </w:rPr>
        <w:t xml:space="preserve">Fig </w:t>
      </w:r>
      <w:r w:rsidR="00F94A40" w:rsidRPr="00F94A40">
        <w:rPr>
          <w:rFonts w:ascii="Calibri" w:eastAsia="Times New Roman" w:hAnsi="Calibri" w:cs="Times New Roman"/>
          <w:b/>
          <w:color w:val="000000"/>
        </w:rPr>
        <w:t>S</w:t>
      </w:r>
      <w:r w:rsidRPr="00F94A40">
        <w:rPr>
          <w:rFonts w:ascii="Calibri" w:eastAsia="Times New Roman" w:hAnsi="Calibri" w:cs="Times New Roman"/>
          <w:b/>
          <w:color w:val="000000"/>
        </w:rPr>
        <w:t>2. Distribution of differences between paired male and female payment ratios.</w:t>
      </w:r>
    </w:p>
    <w:p w14:paraId="13FDEBAB" w14:textId="3239315B" w:rsidR="00F94A40" w:rsidRPr="00F94A40" w:rsidRDefault="0093467F" w:rsidP="001B1070">
      <w:pPr>
        <w:spacing w:after="0" w:line="240" w:lineRule="auto"/>
        <w:rPr>
          <w:rFonts w:ascii="Calibri" w:eastAsia="Times New Roman" w:hAnsi="Calibri" w:cs="Times New Roman"/>
          <w:b/>
          <w:color w:val="000000"/>
        </w:rPr>
      </w:pPr>
      <w:r w:rsidRPr="0093467F">
        <w:rPr>
          <w:rFonts w:ascii="Calibri" w:eastAsia="Times New Roman" w:hAnsi="Calibri" w:cs="Times New Roman"/>
          <w:b/>
          <w:noProof/>
          <w:color w:val="000000"/>
          <w:lang w:eastAsia="en-US"/>
        </w:rPr>
        <w:drawing>
          <wp:inline distT="0" distB="0" distL="0" distR="0" wp14:anchorId="6205D3BD" wp14:editId="51F96A3C">
            <wp:extent cx="4495800" cy="3474028"/>
            <wp:effectExtent l="0" t="0" r="0" b="0"/>
            <wp:docPr id="4" name="Picture 4" descr="C:\Users\AChapin2\Downloads\Annex_Fig2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hapin2\Downloads\Annex_Fig2 (3).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102" cy="3477353"/>
                    </a:xfrm>
                    <a:prstGeom prst="rect">
                      <a:avLst/>
                    </a:prstGeom>
                    <a:noFill/>
                    <a:ln>
                      <a:noFill/>
                    </a:ln>
                  </pic:spPr>
                </pic:pic>
              </a:graphicData>
            </a:graphic>
          </wp:inline>
        </w:drawing>
      </w:r>
    </w:p>
    <w:p w14:paraId="71357077" w14:textId="77777777" w:rsidR="001B1070" w:rsidRPr="00F94A40" w:rsidRDefault="001B1070" w:rsidP="001B1070">
      <w:pPr>
        <w:spacing w:after="0" w:line="240" w:lineRule="auto"/>
        <w:rPr>
          <w:rFonts w:ascii="Calibri" w:eastAsia="Times New Roman" w:hAnsi="Calibri" w:cs="Times New Roman"/>
          <w:b/>
          <w:color w:val="000000"/>
        </w:rPr>
      </w:pPr>
    </w:p>
    <w:p w14:paraId="419AF792" w14:textId="446AC8CC" w:rsidR="001B1070" w:rsidRPr="00F94A40" w:rsidRDefault="001B1070" w:rsidP="000A0182">
      <w:pPr>
        <w:spacing w:after="0" w:line="240" w:lineRule="auto"/>
        <w:rPr>
          <w:rFonts w:ascii="Calibri" w:eastAsia="Times New Roman" w:hAnsi="Calibri" w:cs="Times New Roman"/>
          <w:b/>
          <w:color w:val="000000"/>
        </w:rPr>
      </w:pPr>
      <w:r w:rsidRPr="00F94A40">
        <w:rPr>
          <w:rFonts w:ascii="Calibri" w:eastAsia="Times New Roman" w:hAnsi="Calibri" w:cs="Times New Roman"/>
          <w:b/>
          <w:color w:val="000000"/>
        </w:rPr>
        <w:t xml:space="preserve">Fig </w:t>
      </w:r>
      <w:r w:rsidR="00F94A40" w:rsidRPr="00F94A40">
        <w:rPr>
          <w:rFonts w:ascii="Calibri" w:eastAsia="Times New Roman" w:hAnsi="Calibri" w:cs="Times New Roman"/>
          <w:b/>
          <w:color w:val="000000"/>
        </w:rPr>
        <w:t>S</w:t>
      </w:r>
      <w:r w:rsidRPr="00F94A40">
        <w:rPr>
          <w:rFonts w:ascii="Calibri" w:eastAsia="Times New Roman" w:hAnsi="Calibri" w:cs="Times New Roman"/>
          <w:b/>
          <w:color w:val="000000"/>
        </w:rPr>
        <w:t>3. Public payer payment ratios for three causes across the age profile.</w:t>
      </w:r>
    </w:p>
    <w:p w14:paraId="711862EB" w14:textId="154B4DC8" w:rsidR="001B1070" w:rsidRDefault="0093467F" w:rsidP="000A0182">
      <w:pPr>
        <w:spacing w:after="0" w:line="240" w:lineRule="auto"/>
        <w:rPr>
          <w:rFonts w:eastAsia="Times New Roman" w:cs="Times New Roman"/>
          <w:color w:val="000000"/>
        </w:rPr>
      </w:pPr>
      <w:r w:rsidRPr="0093467F">
        <w:rPr>
          <w:rFonts w:eastAsia="Times New Roman" w:cs="Times New Roman"/>
          <w:noProof/>
          <w:color w:val="000000"/>
          <w:lang w:eastAsia="en-US"/>
        </w:rPr>
        <w:drawing>
          <wp:inline distT="0" distB="0" distL="0" distR="0" wp14:anchorId="73F7154E" wp14:editId="1F3C2741">
            <wp:extent cx="4591050" cy="3547629"/>
            <wp:effectExtent l="0" t="0" r="0" b="0"/>
            <wp:docPr id="5" name="Picture 5" descr="C:\Users\AChapin2\Downloads\Annex_Fig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hapin2\Downloads\Annex_Fig3.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3085" cy="3549201"/>
                    </a:xfrm>
                    <a:prstGeom prst="rect">
                      <a:avLst/>
                    </a:prstGeom>
                    <a:noFill/>
                    <a:ln>
                      <a:noFill/>
                    </a:ln>
                  </pic:spPr>
                </pic:pic>
              </a:graphicData>
            </a:graphic>
          </wp:inline>
        </w:drawing>
      </w:r>
    </w:p>
    <w:p w14:paraId="24B6DDF2" w14:textId="77777777" w:rsidR="00F94A40" w:rsidRPr="00F56B0D" w:rsidRDefault="00F94A40" w:rsidP="000A0182">
      <w:pPr>
        <w:spacing w:after="0" w:line="240" w:lineRule="auto"/>
        <w:rPr>
          <w:rFonts w:eastAsia="Times New Roman" w:cs="Times New Roman"/>
          <w:color w:val="000000"/>
        </w:rPr>
      </w:pPr>
    </w:p>
    <w:p w14:paraId="30E74AB7" w14:textId="6F1FA506" w:rsidR="00843FDB" w:rsidRPr="00F56B0D" w:rsidRDefault="00843FDB" w:rsidP="000A0182">
      <w:pPr>
        <w:spacing w:after="0" w:line="240" w:lineRule="auto"/>
        <w:rPr>
          <w:rFonts w:eastAsia="Times New Roman" w:cs="Times New Roman"/>
          <w:color w:val="000000"/>
        </w:rPr>
      </w:pPr>
      <w:r w:rsidRPr="00F56B0D">
        <w:rPr>
          <w:rFonts w:eastAsia="Times New Roman" w:cs="Times New Roman"/>
          <w:color w:val="000000"/>
        </w:rPr>
        <w:lastRenderedPageBreak/>
        <w:t xml:space="preserve">A cause- and draw- specific </w:t>
      </w:r>
      <w:r w:rsidR="007769DE" w:rsidRPr="00F56B0D">
        <w:rPr>
          <w:rFonts w:eastAsia="Times New Roman" w:cs="Times New Roman"/>
          <w:color w:val="000000"/>
        </w:rPr>
        <w:t xml:space="preserve">linear regression </w:t>
      </w:r>
      <w:r w:rsidRPr="00F56B0D">
        <w:rPr>
          <w:rFonts w:eastAsia="Times New Roman" w:cs="Times New Roman"/>
          <w:color w:val="000000"/>
        </w:rPr>
        <w:t xml:space="preserve">model was </w:t>
      </w:r>
      <w:r w:rsidR="007769DE" w:rsidRPr="00F56B0D">
        <w:rPr>
          <w:rFonts w:eastAsia="Times New Roman" w:cs="Times New Roman"/>
          <w:color w:val="000000"/>
        </w:rPr>
        <w:t xml:space="preserve">estimated at the patient level. The payment ratio was regressed on </w:t>
      </w:r>
      <w:r w:rsidRPr="00F56B0D">
        <w:rPr>
          <w:rFonts w:eastAsia="Times New Roman" w:cs="Times New Roman"/>
          <w:color w:val="000000"/>
        </w:rPr>
        <w:t>payer</w:t>
      </w:r>
      <w:r w:rsidR="007769DE" w:rsidRPr="00F56B0D">
        <w:rPr>
          <w:rFonts w:eastAsia="Times New Roman" w:cs="Times New Roman"/>
          <w:color w:val="000000"/>
        </w:rPr>
        <w:t xml:space="preserve"> indicators </w:t>
      </w:r>
      <w:r w:rsidRPr="00F56B0D">
        <w:rPr>
          <w:rFonts w:eastAsia="Times New Roman" w:cs="Times New Roman"/>
          <w:color w:val="000000"/>
        </w:rPr>
        <w:t xml:space="preserve">and </w:t>
      </w:r>
      <w:r w:rsidR="007769DE" w:rsidRPr="00F56B0D">
        <w:rPr>
          <w:rFonts w:eastAsia="Times New Roman" w:cs="Times New Roman"/>
          <w:color w:val="000000"/>
        </w:rPr>
        <w:t>the</w:t>
      </w:r>
      <w:r w:rsidRPr="00F56B0D">
        <w:rPr>
          <w:rFonts w:eastAsia="Times New Roman" w:cs="Times New Roman"/>
          <w:color w:val="000000"/>
        </w:rPr>
        <w:t xml:space="preserve"> interaction </w:t>
      </w:r>
      <w:r w:rsidR="007769DE" w:rsidRPr="00F56B0D">
        <w:rPr>
          <w:rFonts w:eastAsia="Times New Roman" w:cs="Times New Roman"/>
          <w:color w:val="000000"/>
        </w:rPr>
        <w:t>between the payer indicators</w:t>
      </w:r>
      <w:r w:rsidRPr="00F56B0D">
        <w:rPr>
          <w:rFonts w:eastAsia="Times New Roman" w:cs="Times New Roman"/>
          <w:color w:val="000000"/>
        </w:rPr>
        <w:t xml:space="preserve"> and </w:t>
      </w:r>
      <w:r w:rsidR="007769DE" w:rsidRPr="00F56B0D">
        <w:rPr>
          <w:rFonts w:eastAsia="Times New Roman" w:cs="Times New Roman"/>
          <w:color w:val="000000"/>
        </w:rPr>
        <w:t>time (measured in years)</w:t>
      </w:r>
      <w:r w:rsidRPr="00F56B0D">
        <w:rPr>
          <w:rFonts w:eastAsia="Times New Roman" w:cs="Times New Roman"/>
          <w:color w:val="000000"/>
        </w:rPr>
        <w:t xml:space="preserve">. </w:t>
      </w:r>
      <w:r w:rsidR="008B6D94" w:rsidRPr="00F56B0D">
        <w:rPr>
          <w:rFonts w:eastAsia="Times New Roman" w:cs="Times New Roman"/>
          <w:color w:val="000000"/>
        </w:rPr>
        <w:t xml:space="preserve">For each cause, the </w:t>
      </w:r>
      <w:r w:rsidRPr="00F56B0D">
        <w:rPr>
          <w:rFonts w:eastAsia="Times New Roman" w:cs="Times New Roman"/>
          <w:color w:val="000000"/>
        </w:rPr>
        <w:t>equation</w:t>
      </w:r>
      <w:r w:rsidR="008B6D94" w:rsidRPr="00F56B0D">
        <w:rPr>
          <w:rFonts w:eastAsia="Times New Roman" w:cs="Times New Roman"/>
          <w:color w:val="000000"/>
        </w:rPr>
        <w:t xml:space="preserve"> was</w:t>
      </w:r>
      <w:r w:rsidR="009965C3" w:rsidRPr="00F56B0D">
        <w:rPr>
          <w:rFonts w:eastAsia="Times New Roman" w:cs="Times New Roman"/>
          <w:color w:val="000000"/>
        </w:rPr>
        <w:t xml:space="preserve"> </w:t>
      </w:r>
      <w:r w:rsidRPr="00F56B0D">
        <w:rPr>
          <w:rFonts w:eastAsia="Times New Roman" w:cs="Times New Roman"/>
          <w:color w:val="000000"/>
        </w:rPr>
        <w:t>as follows:</w:t>
      </w:r>
    </w:p>
    <w:p w14:paraId="1724BC59" w14:textId="77777777" w:rsidR="00F410A1" w:rsidRPr="00F56B0D" w:rsidRDefault="00F410A1" w:rsidP="000A0182">
      <w:pPr>
        <w:spacing w:after="0" w:line="240" w:lineRule="auto"/>
        <w:rPr>
          <w:rFonts w:eastAsia="Times New Roman" w:cs="Times New Roman"/>
          <w:color w:val="000000"/>
        </w:rPr>
      </w:pPr>
    </w:p>
    <w:p w14:paraId="76F2C91C" w14:textId="04B35B19" w:rsidR="008A630B" w:rsidRPr="00F56B0D" w:rsidRDefault="00F410A1" w:rsidP="000A0182">
      <w:pPr>
        <w:spacing w:after="0" w:line="240" w:lineRule="auto"/>
        <w:rPr>
          <w:rFonts w:eastAsia="Times New Roman" w:cs="Times New Roman"/>
        </w:rPr>
      </w:pPr>
      <w:r w:rsidRPr="00F56B0D">
        <w:rPr>
          <w:rFonts w:eastAsia="Times New Roman" w:cs="Times New Roman"/>
          <w:color w:val="000000"/>
        </w:rPr>
        <w:t>Equation (1):</w:t>
      </w:r>
    </w:p>
    <w:p w14:paraId="247B398A" w14:textId="25F63A28" w:rsidR="00843FDB" w:rsidRPr="00F56B0D" w:rsidRDefault="00843FDB" w:rsidP="000A0182">
      <w:pPr>
        <w:spacing w:after="0" w:line="240" w:lineRule="auto"/>
        <w:textAlignment w:val="baseline"/>
        <w:rPr>
          <w:rFonts w:eastAsia="Times New Roman" w:cs="Times New Roman"/>
          <w:color w:val="000000"/>
          <w:szCs w:val="24"/>
        </w:rPr>
      </w:pPr>
      <w:r w:rsidRPr="00F56B0D">
        <w:rPr>
          <w:rFonts w:eastAsia="Times New Roman" w:cs="Times New Roman"/>
          <w:color w:val="000000"/>
        </w:rPr>
        <w:tab/>
      </w:r>
      <m:oMath>
        <m:r>
          <m:rPr>
            <m:sty m:val="p"/>
          </m:rPr>
          <w:rPr>
            <w:rFonts w:ascii="Cambria Math" w:eastAsia="Times New Roman" w:hAnsi="Cambria Math" w:cs="Times New Roman"/>
            <w:color w:val="000000"/>
            <w:szCs w:val="24"/>
          </w:rPr>
          <w:br/>
        </m:r>
      </m:oMath>
      <m:oMathPara>
        <m:oMath>
          <m:sSub>
            <m:sSubPr>
              <m:ctrlPr>
                <w:rPr>
                  <w:rFonts w:ascii="Cambria Math" w:eastAsia="Times New Roman" w:hAnsi="Cambria Math" w:cs="Times New Roman"/>
                  <w:i/>
                  <w:color w:val="000000"/>
                  <w:szCs w:val="24"/>
                </w:rPr>
              </m:ctrlPr>
            </m:sSubPr>
            <m:e>
              <m:d>
                <m:dPr>
                  <m:ctrlPr>
                    <w:rPr>
                      <w:rFonts w:ascii="Cambria Math" w:eastAsia="Times New Roman" w:hAnsi="Cambria Math" w:cs="Times New Roman"/>
                      <w:i/>
                      <w:color w:val="000000"/>
                      <w:szCs w:val="24"/>
                    </w:rPr>
                  </m:ctrlPr>
                </m:dPr>
                <m:e>
                  <m:f>
                    <m:fPr>
                      <m:ctrlPr>
                        <w:rPr>
                          <w:rFonts w:ascii="Cambria Math" w:eastAsia="Times New Roman" w:hAnsi="Cambria Math" w:cs="Times New Roman"/>
                          <w:i/>
                          <w:color w:val="000000"/>
                          <w:szCs w:val="24"/>
                        </w:rPr>
                      </m:ctrlPr>
                    </m:fPr>
                    <m:num>
                      <m:r>
                        <w:rPr>
                          <w:rFonts w:ascii="Cambria Math" w:eastAsia="Times New Roman" w:hAnsi="Cambria Math" w:cs="Times New Roman"/>
                          <w:color w:val="000000"/>
                          <w:szCs w:val="24"/>
                        </w:rPr>
                        <m:t>payments</m:t>
                      </m:r>
                    </m:num>
                    <m:den>
                      <m:r>
                        <w:rPr>
                          <w:rFonts w:ascii="Cambria Math" w:eastAsia="Times New Roman" w:hAnsi="Cambria Math" w:cs="Times New Roman"/>
                          <w:color w:val="000000"/>
                          <w:szCs w:val="24"/>
                        </w:rPr>
                        <m:t>charges</m:t>
                      </m:r>
                    </m:den>
                  </m:f>
                </m:e>
              </m:d>
            </m:e>
            <m:sub>
              <m:r>
                <w:rPr>
                  <w:rFonts w:ascii="Cambria Math" w:eastAsia="Times New Roman" w:hAnsi="Cambria Math" w:cs="Times New Roman"/>
                  <w:color w:val="000000"/>
                  <w:szCs w:val="24"/>
                </w:rPr>
                <m:t>i</m:t>
              </m:r>
            </m:sub>
          </m:sSub>
          <m:r>
            <w:rPr>
              <w:rFonts w:ascii="Cambria Math" w:eastAsia="Times New Roman" w:hAnsi="Cambria Math" w:cs="Times New Roman"/>
              <w:color w:val="000000"/>
              <w:szCs w:val="24"/>
            </w:rPr>
            <m:t xml:space="preserve">= </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β</m:t>
              </m:r>
            </m:e>
            <m:sub>
              <m:r>
                <w:rPr>
                  <w:rFonts w:ascii="Cambria Math" w:eastAsia="Times New Roman" w:hAnsi="Cambria Math" w:cs="Times New Roman"/>
                  <w:color w:val="000000"/>
                  <w:szCs w:val="24"/>
                </w:rPr>
                <m:t>0</m:t>
              </m:r>
            </m:sub>
          </m:sSub>
          <m:r>
            <w:rPr>
              <w:rFonts w:ascii="Cambria Math" w:eastAsia="Times New Roman"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public</m:t>
              </m:r>
            </m:e>
            <m:sub>
              <m:r>
                <w:rPr>
                  <w:rFonts w:ascii="Cambria Math" w:eastAsia="Times New Roman" w:hAnsi="Cambria Math" w:cs="Times New Roman"/>
                  <w:color w:val="000000"/>
                  <w:szCs w:val="24"/>
                </w:rPr>
                <m:t>i</m:t>
              </m:r>
            </m:sub>
          </m:sSub>
          <m:r>
            <w:rPr>
              <w:rFonts w:ascii="Cambria Math" w:eastAsia="Times New Roman" w:hAnsi="Cambria Math" w:cs="Times New Roman"/>
              <w:color w:val="000000"/>
              <w:szCs w:val="24"/>
            </w:rPr>
            <m:t xml:space="preserve">+ </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β</m:t>
              </m:r>
            </m:e>
            <m:sub>
              <m:r>
                <w:rPr>
                  <w:rFonts w:ascii="Cambria Math" w:eastAsia="Times New Roman" w:hAnsi="Cambria Math" w:cs="Times New Roman"/>
                  <w:color w:val="000000"/>
                  <w:szCs w:val="24"/>
                </w:rPr>
                <m:t>1</m:t>
              </m:r>
            </m:sub>
          </m:sSub>
          <m:r>
            <w:rPr>
              <w:rFonts w:ascii="Cambria Math" w:eastAsia="Times New Roman"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private</m:t>
              </m:r>
            </m:e>
            <m:sub>
              <m:r>
                <w:rPr>
                  <w:rFonts w:ascii="Cambria Math" w:eastAsia="Times New Roman" w:hAnsi="Cambria Math" w:cs="Times New Roman"/>
                  <w:color w:val="000000"/>
                  <w:szCs w:val="24"/>
                </w:rPr>
                <m:t>i</m:t>
              </m:r>
            </m:sub>
          </m:sSub>
          <m:r>
            <w:rPr>
              <w:rFonts w:ascii="Cambria Math" w:eastAsia="Times New Roman" w:hAnsi="Cambria Math" w:cs="Times New Roman"/>
              <w:color w:val="000000"/>
              <w:szCs w:val="24"/>
            </w:rPr>
            <m:t xml:space="preserve">+  </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β</m:t>
              </m:r>
            </m:e>
            <m:sub>
              <m:r>
                <w:rPr>
                  <w:rFonts w:ascii="Cambria Math" w:eastAsia="Times New Roman" w:hAnsi="Cambria Math" w:cs="Times New Roman"/>
                  <w:color w:val="000000"/>
                  <w:szCs w:val="24"/>
                </w:rPr>
                <m:t>2</m:t>
              </m:r>
            </m:sub>
          </m:sSub>
          <m:r>
            <w:rPr>
              <w:rFonts w:ascii="Cambria Math" w:eastAsia="Times New Roman"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oop</m:t>
              </m:r>
            </m:e>
            <m:sub>
              <m:r>
                <w:rPr>
                  <w:rFonts w:ascii="Cambria Math" w:eastAsia="Times New Roman" w:hAnsi="Cambria Math" w:cs="Times New Roman"/>
                  <w:color w:val="000000"/>
                  <w:szCs w:val="24"/>
                </w:rPr>
                <m:t>i</m:t>
              </m:r>
            </m:sub>
          </m:sSub>
          <m:r>
            <w:rPr>
              <w:rFonts w:ascii="Cambria Math" w:eastAsia="Times New Roman" w:hAnsi="Cambria Math" w:cs="Times New Roman"/>
              <w:color w:val="000000"/>
              <w:szCs w:val="24"/>
            </w:rPr>
            <m:t xml:space="preserve">+ </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β</m:t>
              </m:r>
            </m:e>
            <m:sub>
              <m:r>
                <w:rPr>
                  <w:rFonts w:ascii="Cambria Math" w:eastAsia="Times New Roman" w:hAnsi="Cambria Math" w:cs="Times New Roman"/>
                  <w:color w:val="000000"/>
                  <w:szCs w:val="24"/>
                </w:rPr>
                <m:t>3</m:t>
              </m:r>
            </m:sub>
          </m:sSub>
          <m:r>
            <w:rPr>
              <w:rFonts w:ascii="Cambria Math" w:eastAsia="Times New Roman"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public</m:t>
              </m:r>
            </m:e>
            <m:sub>
              <m:r>
                <w:rPr>
                  <w:rFonts w:ascii="Cambria Math" w:eastAsia="Times New Roman" w:hAnsi="Cambria Math" w:cs="Times New Roman"/>
                  <w:color w:val="000000"/>
                  <w:szCs w:val="24"/>
                </w:rPr>
                <m:t>i</m:t>
              </m:r>
            </m:sub>
          </m:sSub>
          <m:r>
            <w:rPr>
              <w:rFonts w:ascii="Cambria Math" w:eastAsia="Times New Roman" w:hAnsi="Cambria Math" w:cs="Times New Roman"/>
              <w:color w:val="000000"/>
              <w:szCs w:val="24"/>
            </w:rPr>
            <m:t xml:space="preserve">∙year+ </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β</m:t>
              </m:r>
            </m:e>
            <m:sub>
              <m:r>
                <w:rPr>
                  <w:rFonts w:ascii="Cambria Math" w:eastAsia="Times New Roman" w:hAnsi="Cambria Math" w:cs="Times New Roman"/>
                  <w:color w:val="000000"/>
                  <w:szCs w:val="24"/>
                </w:rPr>
                <m:t>4</m:t>
              </m:r>
            </m:sub>
          </m:sSub>
          <m:r>
            <w:rPr>
              <w:rFonts w:ascii="Cambria Math" w:eastAsia="Times New Roman"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private</m:t>
              </m:r>
            </m:e>
            <m:sub>
              <m:r>
                <w:rPr>
                  <w:rFonts w:ascii="Cambria Math" w:eastAsia="Times New Roman" w:hAnsi="Cambria Math" w:cs="Times New Roman"/>
                  <w:color w:val="000000"/>
                  <w:szCs w:val="24"/>
                </w:rPr>
                <m:t>i</m:t>
              </m:r>
            </m:sub>
          </m:sSub>
          <m:r>
            <w:rPr>
              <w:rFonts w:ascii="Cambria Math" w:eastAsia="Times New Roman" w:hAnsi="Cambria Math" w:cs="Times New Roman"/>
              <w:color w:val="000000"/>
              <w:szCs w:val="24"/>
            </w:rPr>
            <m:t xml:space="preserve">∙year+ </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β</m:t>
              </m:r>
            </m:e>
            <m:sub>
              <m:r>
                <w:rPr>
                  <w:rFonts w:ascii="Cambria Math" w:eastAsia="Times New Roman" w:hAnsi="Cambria Math" w:cs="Times New Roman"/>
                  <w:color w:val="000000"/>
                  <w:szCs w:val="24"/>
                </w:rPr>
                <m:t>5</m:t>
              </m:r>
            </m:sub>
          </m:sSub>
          <m:r>
            <w:rPr>
              <w:rFonts w:ascii="Cambria Math" w:eastAsia="Times New Roman"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oop</m:t>
              </m:r>
            </m:e>
            <m:sub>
              <m:r>
                <w:rPr>
                  <w:rFonts w:ascii="Cambria Math" w:eastAsia="Times New Roman" w:hAnsi="Cambria Math" w:cs="Times New Roman"/>
                  <w:color w:val="000000"/>
                  <w:szCs w:val="24"/>
                </w:rPr>
                <m:t>i</m:t>
              </m:r>
            </m:sub>
          </m:sSub>
          <m:r>
            <w:rPr>
              <w:rFonts w:ascii="Cambria Math" w:eastAsia="Times New Roman" w:hAnsi="Cambria Math" w:cs="Times New Roman"/>
              <w:color w:val="000000"/>
              <w:szCs w:val="24"/>
            </w:rPr>
            <m:t xml:space="preserve">∙year+ </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ε</m:t>
              </m:r>
            </m:e>
            <m:sub>
              <m:r>
                <w:rPr>
                  <w:rFonts w:ascii="Cambria Math" w:eastAsia="Times New Roman" w:hAnsi="Cambria Math" w:cs="Times New Roman"/>
                  <w:color w:val="000000"/>
                  <w:szCs w:val="24"/>
                </w:rPr>
                <m:t>i</m:t>
              </m:r>
            </m:sub>
          </m:sSub>
        </m:oMath>
      </m:oMathPara>
    </w:p>
    <w:p w14:paraId="4408BFBC" w14:textId="77777777" w:rsidR="00001F70" w:rsidRPr="00F56B0D" w:rsidRDefault="00001F70" w:rsidP="000A0182">
      <w:pPr>
        <w:spacing w:after="0" w:line="240" w:lineRule="auto"/>
        <w:textAlignment w:val="baseline"/>
        <w:rPr>
          <w:rFonts w:eastAsia="Times New Roman" w:cs="Times New Roman"/>
        </w:rPr>
      </w:pPr>
    </w:p>
    <w:p w14:paraId="73D72E9F" w14:textId="55DFEE94" w:rsidR="006C26F3" w:rsidRPr="00F56B0D" w:rsidRDefault="00BD3282" w:rsidP="000A0182">
      <w:pPr>
        <w:spacing w:after="0" w:line="240" w:lineRule="auto"/>
        <w:rPr>
          <w:rFonts w:eastAsia="Times New Roman" w:cs="Times New Roman"/>
          <w:color w:val="000000"/>
        </w:rPr>
      </w:pPr>
      <w:r w:rsidRPr="00F56B0D">
        <w:rPr>
          <w:rFonts w:eastAsia="Times New Roman" w:cs="Times New Roman"/>
          <w:color w:val="000000"/>
        </w:rPr>
        <w:t xml:space="preserve">The product of patient weight and patient-level charge was used as a frequency weight in the regression. These custom weights allowed the regression to be nationally representative by adjusting for two issues. First, the patient weights from MEPS addressed the survey’s sampling frame. Using these weights makes the results representative </w:t>
      </w:r>
      <w:r w:rsidR="00E236E7">
        <w:rPr>
          <w:rFonts w:eastAsia="Times New Roman" w:cs="Times New Roman"/>
          <w:color w:val="000000"/>
        </w:rPr>
        <w:t>of</w:t>
      </w:r>
      <w:r w:rsidRPr="00F56B0D">
        <w:rPr>
          <w:rFonts w:eastAsia="Times New Roman" w:cs="Times New Roman"/>
          <w:color w:val="000000"/>
        </w:rPr>
        <w:t xml:space="preserve"> the US population. Second, incorporating charges into the regression weights means that larger charges are up-weighed. By inspection, the size of the charge itself influenced payment ratios such that the larger a charge, the smaller the proportion a payer was likely to pay</w:t>
      </w:r>
      <w:r w:rsidR="008B4E8E" w:rsidRPr="00F56B0D">
        <w:rPr>
          <w:rFonts w:eastAsia="Times New Roman" w:cs="Times New Roman"/>
          <w:color w:val="000000"/>
        </w:rPr>
        <w:t>.</w:t>
      </w:r>
      <w:r w:rsidR="005C7D43" w:rsidRPr="00F56B0D">
        <w:rPr>
          <w:rFonts w:eastAsia="Times New Roman" w:cs="Times New Roman"/>
          <w:color w:val="000000"/>
        </w:rPr>
        <w:t xml:space="preserve"> </w:t>
      </w:r>
      <w:r w:rsidR="00707423" w:rsidRPr="00F56B0D">
        <w:rPr>
          <w:rFonts w:eastAsia="Times New Roman" w:cs="Times New Roman"/>
          <w:color w:val="000000"/>
        </w:rPr>
        <w:t>However, o</w:t>
      </w:r>
      <w:r w:rsidR="006643D4" w:rsidRPr="00F56B0D">
        <w:rPr>
          <w:rFonts w:eastAsia="Times New Roman" w:cs="Times New Roman"/>
          <w:color w:val="000000"/>
        </w:rPr>
        <w:t xml:space="preserve">bservations with charges larger than the mean for a given cause, year, and payer </w:t>
      </w:r>
      <w:r w:rsidR="00707423" w:rsidRPr="00F56B0D">
        <w:rPr>
          <w:rFonts w:eastAsia="Times New Roman" w:cs="Times New Roman"/>
          <w:color w:val="000000"/>
        </w:rPr>
        <w:t xml:space="preserve">are </w:t>
      </w:r>
      <w:r w:rsidR="006643D4" w:rsidRPr="00F56B0D">
        <w:rPr>
          <w:rFonts w:eastAsia="Times New Roman" w:cs="Times New Roman"/>
          <w:color w:val="000000"/>
        </w:rPr>
        <w:t>relatively small in number.</w:t>
      </w:r>
      <w:r w:rsidR="00707423" w:rsidRPr="00F56B0D">
        <w:t xml:space="preserve"> If we weight by charges, these payment ratios with high charges count more. As these high charge payment ratios tend to be low, incorporating charge into the regression weight pushes our estimates downward. Thus if we didn’t weight by them our ratios would be biased upward, and our results would not accurately describe the total amount paid divided by the total amount charged in the inpatient setting.</w:t>
      </w:r>
      <w:r w:rsidR="00707423" w:rsidRPr="00F56B0D" w:rsidDel="00707423">
        <w:rPr>
          <w:rFonts w:eastAsia="Times New Roman" w:cs="Times New Roman"/>
          <w:color w:val="000000"/>
        </w:rPr>
        <w:t xml:space="preserve"> </w:t>
      </w:r>
      <w:r w:rsidR="008B4E8E" w:rsidRPr="00F56B0D">
        <w:rPr>
          <w:rFonts w:eastAsia="Times New Roman" w:cs="Times New Roman"/>
          <w:color w:val="000000"/>
        </w:rPr>
        <w:t>T</w:t>
      </w:r>
      <w:r w:rsidR="006643D4" w:rsidRPr="00F56B0D">
        <w:rPr>
          <w:rFonts w:eastAsia="Times New Roman" w:cs="Times New Roman"/>
          <w:color w:val="000000"/>
        </w:rPr>
        <w:t xml:space="preserve">hese custom weights </w:t>
      </w:r>
      <w:r w:rsidRPr="00F56B0D">
        <w:rPr>
          <w:rFonts w:eastAsia="Times New Roman" w:cs="Times New Roman"/>
          <w:color w:val="000000"/>
        </w:rPr>
        <w:t>were incorporated as</w:t>
      </w:r>
      <w:r w:rsidR="006643D4" w:rsidRPr="00F56B0D">
        <w:rPr>
          <w:rFonts w:eastAsia="Times New Roman" w:cs="Times New Roman"/>
          <w:color w:val="000000"/>
        </w:rPr>
        <w:t xml:space="preserve"> frequency weights in </w:t>
      </w:r>
      <w:r w:rsidRPr="00F56B0D">
        <w:rPr>
          <w:rFonts w:eastAsia="Times New Roman" w:cs="Times New Roman"/>
          <w:color w:val="000000"/>
        </w:rPr>
        <w:t>the</w:t>
      </w:r>
      <w:r w:rsidR="006643D4" w:rsidRPr="00F56B0D">
        <w:rPr>
          <w:rFonts w:eastAsia="Times New Roman" w:cs="Times New Roman"/>
          <w:color w:val="000000"/>
        </w:rPr>
        <w:t xml:space="preserve"> regression. In other words, if a weight of 1,000 was attributed to an observation, </w:t>
      </w:r>
      <w:r w:rsidRPr="00F56B0D">
        <w:rPr>
          <w:rFonts w:eastAsia="Times New Roman" w:cs="Times New Roman"/>
          <w:color w:val="000000"/>
        </w:rPr>
        <w:t>the</w:t>
      </w:r>
      <w:r w:rsidR="006643D4" w:rsidRPr="00F56B0D">
        <w:rPr>
          <w:rFonts w:eastAsia="Times New Roman" w:cs="Times New Roman"/>
          <w:color w:val="000000"/>
        </w:rPr>
        <w:t xml:space="preserve"> regression treated the observation as if it were 1,000 distinct data points.  </w:t>
      </w:r>
      <w:r w:rsidR="006C26F3" w:rsidRPr="00F56B0D">
        <w:rPr>
          <w:rFonts w:eastAsia="Times New Roman" w:cs="Times New Roman"/>
          <w:color w:val="000000"/>
        </w:rPr>
        <w:t xml:space="preserve">Under this conceptualization, a charge of $100 with a ratio of 0.80 </w:t>
      </w:r>
      <w:r w:rsidR="00D71EE9" w:rsidRPr="00F56B0D">
        <w:rPr>
          <w:rFonts w:eastAsia="Times New Roman" w:cs="Times New Roman"/>
          <w:color w:val="000000"/>
        </w:rPr>
        <w:t>would be equivalent to</w:t>
      </w:r>
      <w:r w:rsidR="006C26F3" w:rsidRPr="00F56B0D">
        <w:rPr>
          <w:rFonts w:eastAsia="Times New Roman" w:cs="Times New Roman"/>
          <w:color w:val="000000"/>
        </w:rPr>
        <w:t xml:space="preserve"> a ratio of 0.80 for 100 separate $1 charges. </w:t>
      </w:r>
      <w:r w:rsidR="00F770BA" w:rsidRPr="00F56B0D">
        <w:rPr>
          <w:rFonts w:eastAsia="Times New Roman" w:cs="Times New Roman"/>
          <w:color w:val="000000"/>
        </w:rPr>
        <w:t xml:space="preserve">By definition, a frequency weight of 100 is treated as if an observation occurred 100 times, so this weighting choice is valid. </w:t>
      </w:r>
    </w:p>
    <w:p w14:paraId="5DF0F949" w14:textId="77777777" w:rsidR="008B4E8E" w:rsidRPr="00F56B0D" w:rsidRDefault="008B4E8E" w:rsidP="000A0182">
      <w:pPr>
        <w:spacing w:after="0" w:line="240" w:lineRule="auto"/>
        <w:rPr>
          <w:rFonts w:eastAsia="Times New Roman" w:cs="Times New Roman"/>
          <w:color w:val="000000"/>
        </w:rPr>
      </w:pPr>
    </w:p>
    <w:p w14:paraId="04B9FE1C" w14:textId="12522CCF" w:rsidR="00B407DB" w:rsidRDefault="00F94A40" w:rsidP="000A0182">
      <w:pPr>
        <w:spacing w:after="0" w:line="240" w:lineRule="auto"/>
        <w:rPr>
          <w:rFonts w:eastAsia="Times New Roman" w:cs="Times New Roman"/>
        </w:rPr>
      </w:pPr>
      <w:r>
        <w:rPr>
          <w:rFonts w:eastAsia="Times New Roman" w:cs="Times New Roman"/>
        </w:rPr>
        <w:t>Fig S4</w:t>
      </w:r>
      <w:r w:rsidR="008F721E" w:rsidRPr="00F56B0D">
        <w:rPr>
          <w:rFonts w:eastAsia="Times New Roman" w:cs="Times New Roman"/>
        </w:rPr>
        <w:t xml:space="preserve"> </w:t>
      </w:r>
      <w:r w:rsidR="008B4E8E" w:rsidRPr="00F56B0D">
        <w:rPr>
          <w:rFonts w:eastAsia="Times New Roman" w:cs="Times New Roman"/>
        </w:rPr>
        <w:t>shows payment ratios taken from 2012 data for publically insured patients being treated for cardiovascular diseases.  These ratios were plotted against the total amount charged. The horizon</w:t>
      </w:r>
      <w:r w:rsidR="002B5939">
        <w:rPr>
          <w:rFonts w:eastAsia="Times New Roman" w:cs="Times New Roman"/>
        </w:rPr>
        <w:t>tal line is the average payment</w:t>
      </w:r>
      <w:r w:rsidR="008B4E8E" w:rsidRPr="00F56B0D">
        <w:rPr>
          <w:rFonts w:eastAsia="Times New Roman" w:cs="Times New Roman"/>
        </w:rPr>
        <w:t xml:space="preserve"> ratio for all points shown. The downward trend of the dots shows that there is a systematic bias toward lower payment ratios for visits with larger total charges.</w:t>
      </w:r>
    </w:p>
    <w:p w14:paraId="04A19B50" w14:textId="77777777" w:rsidR="008D6185" w:rsidRDefault="008D6185" w:rsidP="000A0182">
      <w:pPr>
        <w:spacing w:after="0" w:line="240" w:lineRule="auto"/>
        <w:rPr>
          <w:rFonts w:eastAsia="Times New Roman" w:cs="Times New Roman"/>
        </w:rPr>
      </w:pPr>
    </w:p>
    <w:p w14:paraId="11D16A6C" w14:textId="77777777" w:rsidR="00F94A40" w:rsidRDefault="00F94A40">
      <w:pPr>
        <w:rPr>
          <w:rFonts w:ascii="Calibri" w:eastAsia="Times New Roman" w:hAnsi="Calibri" w:cs="Times New Roman"/>
          <w:b/>
          <w:color w:val="000000"/>
        </w:rPr>
      </w:pPr>
      <w:r>
        <w:rPr>
          <w:rFonts w:ascii="Calibri" w:eastAsia="Times New Roman" w:hAnsi="Calibri" w:cs="Times New Roman"/>
          <w:b/>
          <w:color w:val="000000"/>
        </w:rPr>
        <w:br w:type="page"/>
      </w:r>
    </w:p>
    <w:p w14:paraId="46D00D2D" w14:textId="716A3072" w:rsidR="008D6185" w:rsidRPr="00F94A40" w:rsidRDefault="008D6185" w:rsidP="000A0182">
      <w:pPr>
        <w:spacing w:after="0" w:line="240" w:lineRule="auto"/>
        <w:rPr>
          <w:rFonts w:ascii="Calibri" w:eastAsia="Times New Roman" w:hAnsi="Calibri" w:cs="Times New Roman"/>
          <w:b/>
          <w:color w:val="000000"/>
        </w:rPr>
      </w:pPr>
      <w:r w:rsidRPr="008D6185">
        <w:rPr>
          <w:rFonts w:ascii="Calibri" w:eastAsia="Times New Roman" w:hAnsi="Calibri" w:cs="Times New Roman"/>
          <w:b/>
          <w:color w:val="000000"/>
        </w:rPr>
        <w:lastRenderedPageBreak/>
        <w:t xml:space="preserve">Fig </w:t>
      </w:r>
      <w:r w:rsidR="00F94A40">
        <w:rPr>
          <w:rFonts w:ascii="Calibri" w:eastAsia="Times New Roman" w:hAnsi="Calibri" w:cs="Times New Roman"/>
          <w:b/>
          <w:color w:val="000000"/>
        </w:rPr>
        <w:t>S</w:t>
      </w:r>
      <w:r w:rsidRPr="008D6185">
        <w:rPr>
          <w:rFonts w:ascii="Calibri" w:eastAsia="Times New Roman" w:hAnsi="Calibri" w:cs="Times New Roman"/>
          <w:b/>
          <w:color w:val="000000"/>
        </w:rPr>
        <w:t>4.</w:t>
      </w:r>
      <w:r w:rsidRPr="008D6185">
        <w:rPr>
          <w:rFonts w:ascii="Calibri" w:eastAsia="Times New Roman" w:hAnsi="Calibri" w:cs="Times New Roman"/>
          <w:color w:val="000000"/>
        </w:rPr>
        <w:t xml:space="preserve"> </w:t>
      </w:r>
      <w:r w:rsidRPr="00F94A40">
        <w:rPr>
          <w:rFonts w:ascii="Calibri" w:eastAsia="Times New Roman" w:hAnsi="Calibri" w:cs="Times New Roman"/>
          <w:b/>
          <w:color w:val="000000"/>
        </w:rPr>
        <w:t>Patient-level payment ratios from MEPS over charges from MEPS.</w:t>
      </w:r>
    </w:p>
    <w:p w14:paraId="6807F7DB" w14:textId="7A2F1EEA" w:rsidR="00CD7ADC" w:rsidRDefault="0093467F" w:rsidP="000A0182">
      <w:pPr>
        <w:spacing w:after="0" w:line="240" w:lineRule="auto"/>
        <w:rPr>
          <w:rFonts w:eastAsia="Times New Roman" w:cs="Times New Roman"/>
          <w:color w:val="000000"/>
        </w:rPr>
      </w:pPr>
      <w:r w:rsidRPr="0093467F">
        <w:rPr>
          <w:rFonts w:eastAsia="Times New Roman" w:cs="Times New Roman"/>
          <w:noProof/>
          <w:color w:val="000000"/>
          <w:lang w:eastAsia="en-US"/>
        </w:rPr>
        <w:drawing>
          <wp:inline distT="0" distB="0" distL="0" distR="0" wp14:anchorId="0736D0F7" wp14:editId="2F6C497C">
            <wp:extent cx="5004547" cy="3867150"/>
            <wp:effectExtent l="0" t="0" r="5715" b="0"/>
            <wp:docPr id="8" name="Picture 8" descr="C:\Users\AChapin2\Downloads\Annex_Fig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hapin2\Downloads\Annex_Fig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6600" cy="3868736"/>
                    </a:xfrm>
                    <a:prstGeom prst="rect">
                      <a:avLst/>
                    </a:prstGeom>
                    <a:noFill/>
                    <a:ln>
                      <a:noFill/>
                    </a:ln>
                  </pic:spPr>
                </pic:pic>
              </a:graphicData>
            </a:graphic>
          </wp:inline>
        </w:drawing>
      </w:r>
      <w:bookmarkStart w:id="0" w:name="_GoBack"/>
      <w:bookmarkEnd w:id="0"/>
    </w:p>
    <w:p w14:paraId="0A978230" w14:textId="77777777" w:rsidR="00F94A40" w:rsidRPr="00F56B0D" w:rsidRDefault="00F94A40" w:rsidP="000A0182">
      <w:pPr>
        <w:spacing w:after="0" w:line="240" w:lineRule="auto"/>
        <w:rPr>
          <w:rFonts w:eastAsia="Times New Roman" w:cs="Times New Roman"/>
          <w:color w:val="000000"/>
        </w:rPr>
      </w:pPr>
    </w:p>
    <w:p w14:paraId="7700AA60" w14:textId="32094A8F" w:rsidR="008A1ACA" w:rsidRPr="00F56B0D" w:rsidRDefault="00843FDB" w:rsidP="000A0182">
      <w:pPr>
        <w:spacing w:after="0" w:line="240" w:lineRule="auto"/>
        <w:rPr>
          <w:rFonts w:eastAsia="Times New Roman" w:cs="Times New Roman"/>
          <w:color w:val="000000"/>
        </w:rPr>
      </w:pPr>
      <w:r w:rsidRPr="00F56B0D">
        <w:rPr>
          <w:rFonts w:eastAsia="Times New Roman" w:cs="Times New Roman"/>
          <w:color w:val="000000"/>
        </w:rPr>
        <w:t>For a giv</w:t>
      </w:r>
      <w:r w:rsidR="00CC11D9" w:rsidRPr="00F56B0D">
        <w:rPr>
          <w:rFonts w:eastAsia="Times New Roman" w:cs="Times New Roman"/>
          <w:color w:val="000000"/>
        </w:rPr>
        <w:t xml:space="preserve">en cause and draw combination, </w:t>
      </w:r>
      <w:r w:rsidR="006F2088" w:rsidRPr="00F56B0D">
        <w:rPr>
          <w:rFonts w:eastAsia="Times New Roman" w:cs="Times New Roman"/>
          <w:color w:val="000000"/>
        </w:rPr>
        <w:t>e</w:t>
      </w:r>
      <w:r w:rsidRPr="00F56B0D">
        <w:rPr>
          <w:rFonts w:eastAsia="Times New Roman" w:cs="Times New Roman"/>
          <w:color w:val="000000"/>
        </w:rPr>
        <w:t xml:space="preserve">quation (1) was used for all payers with more than </w:t>
      </w:r>
      <w:r w:rsidR="009B2370" w:rsidRPr="00F56B0D">
        <w:rPr>
          <w:rFonts w:eastAsia="Times New Roman" w:cs="Times New Roman"/>
          <w:bCs/>
          <w:color w:val="000000"/>
        </w:rPr>
        <w:t>200</w:t>
      </w:r>
      <w:r w:rsidRPr="00F56B0D">
        <w:rPr>
          <w:rFonts w:eastAsia="Times New Roman" w:cs="Times New Roman"/>
          <w:color w:val="000000"/>
        </w:rPr>
        <w:t xml:space="preserve"> observations. </w:t>
      </w:r>
      <w:r w:rsidR="00CC11D9" w:rsidRPr="00F56B0D">
        <w:rPr>
          <w:rFonts w:eastAsia="Times New Roman" w:cs="Times New Roman"/>
          <w:color w:val="000000"/>
        </w:rPr>
        <w:t xml:space="preserve">This threshold was not met for 40,044 of our 96,000 cause, strata, and </w:t>
      </w:r>
      <w:r w:rsidR="00781837">
        <w:rPr>
          <w:rFonts w:eastAsia="Times New Roman" w:cs="Times New Roman"/>
          <w:color w:val="000000"/>
        </w:rPr>
        <w:t xml:space="preserve">bootstrap </w:t>
      </w:r>
      <w:r w:rsidR="00CC11D9" w:rsidRPr="00F56B0D">
        <w:rPr>
          <w:rFonts w:eastAsia="Times New Roman" w:cs="Times New Roman"/>
          <w:color w:val="000000"/>
        </w:rPr>
        <w:t xml:space="preserve">draw combinations. Out of these instances, 19,149 were for OOP payers. </w:t>
      </w:r>
      <w:r w:rsidRPr="00F56B0D">
        <w:rPr>
          <w:rFonts w:eastAsia="Times New Roman" w:cs="Times New Roman"/>
          <w:color w:val="000000"/>
        </w:rPr>
        <w:t xml:space="preserve">When a cause, draw, and payer combination did not meet this threshold, </w:t>
      </w:r>
      <w:r w:rsidR="009B2370" w:rsidRPr="00F56B0D">
        <w:rPr>
          <w:rFonts w:eastAsia="Times New Roman" w:cs="Times New Roman"/>
          <w:color w:val="000000"/>
        </w:rPr>
        <w:t>the corresponding payer-year interaction term was dropped</w:t>
      </w:r>
      <w:r w:rsidRPr="00F56B0D">
        <w:rPr>
          <w:rFonts w:eastAsia="Times New Roman" w:cs="Times New Roman"/>
          <w:color w:val="000000"/>
        </w:rPr>
        <w:t>.</w:t>
      </w:r>
      <w:r w:rsidR="00266558" w:rsidRPr="00F56B0D">
        <w:rPr>
          <w:rFonts w:eastAsia="Times New Roman" w:cs="Times New Roman"/>
          <w:color w:val="000000"/>
        </w:rPr>
        <w:t xml:space="preserve"> </w:t>
      </w:r>
      <w:r w:rsidR="008A1ACA" w:rsidRPr="00F56B0D">
        <w:rPr>
          <w:rFonts w:eastAsia="Times New Roman" w:cs="Times New Roman"/>
          <w:color w:val="000000"/>
        </w:rPr>
        <w:t xml:space="preserve">Table </w:t>
      </w:r>
      <w:r w:rsidR="00F94A40">
        <w:rPr>
          <w:rFonts w:eastAsia="Times New Roman" w:cs="Times New Roman"/>
          <w:color w:val="000000"/>
        </w:rPr>
        <w:t>S1</w:t>
      </w:r>
      <w:r w:rsidR="00707423" w:rsidRPr="00F56B0D">
        <w:rPr>
          <w:rFonts w:eastAsia="Times New Roman" w:cs="Times New Roman"/>
          <w:color w:val="000000"/>
        </w:rPr>
        <w:t xml:space="preserve"> </w:t>
      </w:r>
      <w:r w:rsidR="008A1ACA" w:rsidRPr="00F56B0D">
        <w:rPr>
          <w:rFonts w:eastAsia="Times New Roman" w:cs="Times New Roman"/>
          <w:color w:val="000000"/>
        </w:rPr>
        <w:t>lists how many draws pass</w:t>
      </w:r>
      <w:r w:rsidR="00CC11D9" w:rsidRPr="00F56B0D">
        <w:rPr>
          <w:rFonts w:eastAsia="Times New Roman" w:cs="Times New Roman"/>
          <w:color w:val="000000"/>
        </w:rPr>
        <w:t>ed</w:t>
      </w:r>
      <w:r w:rsidR="008A1ACA" w:rsidRPr="00F56B0D">
        <w:rPr>
          <w:rFonts w:eastAsia="Times New Roman" w:cs="Times New Roman"/>
          <w:color w:val="000000"/>
        </w:rPr>
        <w:t xml:space="preserve"> this threshold of 200 observations, by payer</w:t>
      </w:r>
      <w:r w:rsidR="00781837">
        <w:rPr>
          <w:rFonts w:eastAsia="Times New Roman" w:cs="Times New Roman"/>
          <w:color w:val="000000"/>
        </w:rPr>
        <w:t>,</w:t>
      </w:r>
      <w:r w:rsidR="008A1ACA" w:rsidRPr="00F56B0D">
        <w:rPr>
          <w:rFonts w:eastAsia="Times New Roman" w:cs="Times New Roman"/>
          <w:color w:val="000000"/>
        </w:rPr>
        <w:t xml:space="preserve"> and cause. </w:t>
      </w:r>
    </w:p>
    <w:p w14:paraId="133C5CE1" w14:textId="77777777" w:rsidR="008A1ACA" w:rsidRDefault="008A1ACA" w:rsidP="000A0182">
      <w:pPr>
        <w:spacing w:after="0" w:line="240" w:lineRule="auto"/>
        <w:rPr>
          <w:rFonts w:eastAsia="Times New Roman" w:cs="Times New Roman"/>
          <w:color w:val="000000"/>
        </w:rPr>
      </w:pPr>
    </w:p>
    <w:p w14:paraId="604C21B3" w14:textId="6C05F59E" w:rsidR="00A866DA" w:rsidRPr="00A866DA" w:rsidRDefault="00A866DA" w:rsidP="00A866DA">
      <w:pPr>
        <w:spacing w:after="0" w:line="240" w:lineRule="auto"/>
        <w:rPr>
          <w:rFonts w:ascii="Calibri" w:eastAsia="Times New Roman" w:hAnsi="Calibri" w:cs="Times New Roman"/>
          <w:color w:val="000000"/>
        </w:rPr>
      </w:pPr>
      <w:r w:rsidRPr="00A866DA">
        <w:rPr>
          <w:rFonts w:ascii="Calibri" w:eastAsia="Times New Roman" w:hAnsi="Calibri" w:cs="Times New Roman"/>
          <w:b/>
          <w:color w:val="000000"/>
        </w:rPr>
        <w:t xml:space="preserve">Table </w:t>
      </w:r>
      <w:r w:rsidR="00F94A40">
        <w:rPr>
          <w:rFonts w:ascii="Calibri" w:eastAsia="Times New Roman" w:hAnsi="Calibri" w:cs="Times New Roman"/>
          <w:b/>
          <w:color w:val="000000"/>
        </w:rPr>
        <w:t>S</w:t>
      </w:r>
      <w:r w:rsidRPr="00A866DA">
        <w:rPr>
          <w:rFonts w:ascii="Calibri" w:eastAsia="Times New Roman" w:hAnsi="Calibri" w:cs="Times New Roman"/>
          <w:b/>
          <w:color w:val="000000"/>
        </w:rPr>
        <w:t>1:</w:t>
      </w:r>
      <w:r w:rsidRPr="00A866DA">
        <w:rPr>
          <w:rFonts w:ascii="Calibri" w:eastAsia="Times New Roman" w:hAnsi="Calibri" w:cs="Times New Roman"/>
          <w:color w:val="000000"/>
        </w:rPr>
        <w:t xml:space="preserve"> Number of draws with at least 200 observations for each cause and payer.</w:t>
      </w:r>
    </w:p>
    <w:tbl>
      <w:tblPr>
        <w:tblW w:w="7960" w:type="dxa"/>
        <w:tblInd w:w="93" w:type="dxa"/>
        <w:tblLook w:val="04A0" w:firstRow="1" w:lastRow="0" w:firstColumn="1" w:lastColumn="0" w:noHBand="0" w:noVBand="1"/>
      </w:tblPr>
      <w:tblGrid>
        <w:gridCol w:w="3340"/>
        <w:gridCol w:w="1540"/>
        <w:gridCol w:w="1540"/>
        <w:gridCol w:w="1540"/>
      </w:tblGrid>
      <w:tr w:rsidR="00365E11" w:rsidRPr="00365E11" w14:paraId="7147D172" w14:textId="77777777" w:rsidTr="00365E11">
        <w:trPr>
          <w:trHeight w:val="675"/>
        </w:trPr>
        <w:tc>
          <w:tcPr>
            <w:tcW w:w="3340" w:type="dxa"/>
            <w:tcBorders>
              <w:top w:val="single" w:sz="4" w:space="0" w:color="auto"/>
              <w:left w:val="single" w:sz="4" w:space="0" w:color="auto"/>
              <w:bottom w:val="nil"/>
              <w:right w:val="single" w:sz="4" w:space="0" w:color="auto"/>
            </w:tcBorders>
            <w:shd w:val="clear" w:color="auto" w:fill="auto"/>
            <w:noWrap/>
            <w:vAlign w:val="center"/>
            <w:hideMark/>
          </w:tcPr>
          <w:p w14:paraId="09A1BC82" w14:textId="77777777" w:rsidR="00365E11" w:rsidRPr="00365E11" w:rsidRDefault="00365E11" w:rsidP="00365E11">
            <w:pPr>
              <w:spacing w:after="0" w:line="240" w:lineRule="auto"/>
              <w:rPr>
                <w:rFonts w:ascii="Calibri" w:eastAsia="Times New Roman" w:hAnsi="Calibri" w:cs="Times New Roman"/>
                <w:b/>
                <w:bCs/>
              </w:rPr>
            </w:pPr>
            <w:r w:rsidRPr="00365E11">
              <w:rPr>
                <w:rFonts w:ascii="Calibri" w:eastAsia="Times New Roman" w:hAnsi="Calibri" w:cs="Times New Roman"/>
                <w:b/>
                <w:bCs/>
              </w:rPr>
              <w:t>Cause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CC98C8A" w14:textId="77777777" w:rsidR="00365E11" w:rsidRPr="00365E11" w:rsidRDefault="00365E11" w:rsidP="00365E11">
            <w:pPr>
              <w:spacing w:after="0" w:line="240" w:lineRule="auto"/>
              <w:jc w:val="center"/>
              <w:rPr>
                <w:rFonts w:ascii="Calibri" w:eastAsia="Times New Roman" w:hAnsi="Calibri" w:cs="Times New Roman"/>
                <w:b/>
                <w:bCs/>
              </w:rPr>
            </w:pPr>
            <w:r w:rsidRPr="00365E11">
              <w:rPr>
                <w:rFonts w:ascii="Calibri" w:eastAsia="Times New Roman" w:hAnsi="Calibri" w:cs="Times New Roman"/>
                <w:b/>
                <w:bCs/>
              </w:rPr>
              <w:t>Public</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B213E48" w14:textId="77777777" w:rsidR="00365E11" w:rsidRPr="00365E11" w:rsidRDefault="00365E11" w:rsidP="00365E11">
            <w:pPr>
              <w:spacing w:after="0" w:line="240" w:lineRule="auto"/>
              <w:jc w:val="center"/>
              <w:rPr>
                <w:rFonts w:ascii="Calibri" w:eastAsia="Times New Roman" w:hAnsi="Calibri" w:cs="Times New Roman"/>
                <w:b/>
                <w:bCs/>
              </w:rPr>
            </w:pPr>
            <w:r w:rsidRPr="00365E11">
              <w:rPr>
                <w:rFonts w:ascii="Calibri" w:eastAsia="Times New Roman" w:hAnsi="Calibri" w:cs="Times New Roman"/>
                <w:b/>
                <w:bCs/>
              </w:rPr>
              <w:t>Private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55F3A2E" w14:textId="77777777" w:rsidR="00365E11" w:rsidRPr="00365E11" w:rsidRDefault="00365E11" w:rsidP="00365E11">
            <w:pPr>
              <w:spacing w:after="0" w:line="240" w:lineRule="auto"/>
              <w:jc w:val="center"/>
              <w:rPr>
                <w:rFonts w:ascii="Calibri" w:eastAsia="Times New Roman" w:hAnsi="Calibri" w:cs="Times New Roman"/>
                <w:b/>
                <w:bCs/>
              </w:rPr>
            </w:pPr>
            <w:r w:rsidRPr="00365E11">
              <w:rPr>
                <w:rFonts w:ascii="Calibri" w:eastAsia="Times New Roman" w:hAnsi="Calibri" w:cs="Times New Roman"/>
                <w:b/>
                <w:bCs/>
              </w:rPr>
              <w:t>Out-of-pocket</w:t>
            </w:r>
          </w:p>
        </w:tc>
      </w:tr>
      <w:tr w:rsidR="00365E11" w:rsidRPr="00365E11" w14:paraId="607FC0B6" w14:textId="77777777" w:rsidTr="00365E11">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B0157"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HIV/AIDS &amp; tuberculosis</w:t>
            </w:r>
          </w:p>
        </w:tc>
        <w:tc>
          <w:tcPr>
            <w:tcW w:w="1540" w:type="dxa"/>
            <w:tcBorders>
              <w:top w:val="nil"/>
              <w:left w:val="nil"/>
              <w:bottom w:val="single" w:sz="4" w:space="0" w:color="auto"/>
              <w:right w:val="single" w:sz="4" w:space="0" w:color="auto"/>
            </w:tcBorders>
            <w:shd w:val="clear" w:color="auto" w:fill="auto"/>
            <w:noWrap/>
            <w:vAlign w:val="center"/>
            <w:hideMark/>
          </w:tcPr>
          <w:p w14:paraId="51AF5B6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4F52F89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991</w:t>
            </w:r>
          </w:p>
        </w:tc>
        <w:tc>
          <w:tcPr>
            <w:tcW w:w="1540" w:type="dxa"/>
            <w:tcBorders>
              <w:top w:val="nil"/>
              <w:left w:val="nil"/>
              <w:bottom w:val="single" w:sz="4" w:space="0" w:color="auto"/>
              <w:right w:val="single" w:sz="4" w:space="0" w:color="auto"/>
            </w:tcBorders>
            <w:shd w:val="clear" w:color="auto" w:fill="auto"/>
            <w:noWrap/>
            <w:vAlign w:val="center"/>
            <w:hideMark/>
          </w:tcPr>
          <w:p w14:paraId="3D1818E4"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6EF75042"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010F6D0"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Diarrhea/LRI/other</w:t>
            </w:r>
          </w:p>
        </w:tc>
        <w:tc>
          <w:tcPr>
            <w:tcW w:w="1540" w:type="dxa"/>
            <w:tcBorders>
              <w:top w:val="nil"/>
              <w:left w:val="nil"/>
              <w:bottom w:val="single" w:sz="4" w:space="0" w:color="auto"/>
              <w:right w:val="single" w:sz="4" w:space="0" w:color="auto"/>
            </w:tcBorders>
            <w:shd w:val="clear" w:color="auto" w:fill="auto"/>
            <w:noWrap/>
            <w:vAlign w:val="center"/>
            <w:hideMark/>
          </w:tcPr>
          <w:p w14:paraId="45D9443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3B1B6DE4"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2653913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175</w:t>
            </w:r>
          </w:p>
        </w:tc>
      </w:tr>
      <w:tr w:rsidR="00365E11" w:rsidRPr="00365E11" w14:paraId="3BC71482"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0CEED4A"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NTDs &amp; malaria</w:t>
            </w:r>
          </w:p>
        </w:tc>
        <w:tc>
          <w:tcPr>
            <w:tcW w:w="1540" w:type="dxa"/>
            <w:tcBorders>
              <w:top w:val="nil"/>
              <w:left w:val="nil"/>
              <w:bottom w:val="single" w:sz="4" w:space="0" w:color="auto"/>
              <w:right w:val="single" w:sz="4" w:space="0" w:color="auto"/>
            </w:tcBorders>
            <w:shd w:val="clear" w:color="auto" w:fill="auto"/>
            <w:noWrap/>
            <w:vAlign w:val="center"/>
            <w:hideMark/>
          </w:tcPr>
          <w:p w14:paraId="3D71E65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559F0CE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51BF87BC"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28004933"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F6A9791"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Maternal disorders</w:t>
            </w:r>
          </w:p>
        </w:tc>
        <w:tc>
          <w:tcPr>
            <w:tcW w:w="1540" w:type="dxa"/>
            <w:tcBorders>
              <w:top w:val="nil"/>
              <w:left w:val="nil"/>
              <w:bottom w:val="single" w:sz="4" w:space="0" w:color="auto"/>
              <w:right w:val="single" w:sz="4" w:space="0" w:color="auto"/>
            </w:tcBorders>
            <w:shd w:val="clear" w:color="auto" w:fill="auto"/>
            <w:noWrap/>
            <w:vAlign w:val="center"/>
            <w:hideMark/>
          </w:tcPr>
          <w:p w14:paraId="17457570"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5EB70268"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2DE43CE1"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6C5C308A"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E04EB9E"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Neonatal disorders</w:t>
            </w:r>
          </w:p>
        </w:tc>
        <w:tc>
          <w:tcPr>
            <w:tcW w:w="1540" w:type="dxa"/>
            <w:tcBorders>
              <w:top w:val="nil"/>
              <w:left w:val="nil"/>
              <w:bottom w:val="single" w:sz="4" w:space="0" w:color="auto"/>
              <w:right w:val="single" w:sz="4" w:space="0" w:color="auto"/>
            </w:tcBorders>
            <w:shd w:val="clear" w:color="auto" w:fill="auto"/>
            <w:noWrap/>
            <w:vAlign w:val="center"/>
            <w:hideMark/>
          </w:tcPr>
          <w:p w14:paraId="0DCFC7D2"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77317856"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50</w:t>
            </w:r>
          </w:p>
        </w:tc>
        <w:tc>
          <w:tcPr>
            <w:tcW w:w="1540" w:type="dxa"/>
            <w:tcBorders>
              <w:top w:val="nil"/>
              <w:left w:val="nil"/>
              <w:bottom w:val="single" w:sz="4" w:space="0" w:color="auto"/>
              <w:right w:val="single" w:sz="4" w:space="0" w:color="auto"/>
            </w:tcBorders>
            <w:shd w:val="clear" w:color="auto" w:fill="auto"/>
            <w:noWrap/>
            <w:vAlign w:val="center"/>
            <w:hideMark/>
          </w:tcPr>
          <w:p w14:paraId="3FE26C29"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21ED7A42"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7BF218F"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Nutritional deficiencies</w:t>
            </w:r>
          </w:p>
        </w:tc>
        <w:tc>
          <w:tcPr>
            <w:tcW w:w="1540" w:type="dxa"/>
            <w:tcBorders>
              <w:top w:val="nil"/>
              <w:left w:val="nil"/>
              <w:bottom w:val="single" w:sz="4" w:space="0" w:color="auto"/>
              <w:right w:val="single" w:sz="4" w:space="0" w:color="auto"/>
            </w:tcBorders>
            <w:shd w:val="clear" w:color="auto" w:fill="auto"/>
            <w:noWrap/>
            <w:vAlign w:val="center"/>
            <w:hideMark/>
          </w:tcPr>
          <w:p w14:paraId="6A773580"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393</w:t>
            </w:r>
          </w:p>
        </w:tc>
        <w:tc>
          <w:tcPr>
            <w:tcW w:w="1540" w:type="dxa"/>
            <w:tcBorders>
              <w:top w:val="nil"/>
              <w:left w:val="nil"/>
              <w:bottom w:val="single" w:sz="4" w:space="0" w:color="auto"/>
              <w:right w:val="single" w:sz="4" w:space="0" w:color="auto"/>
            </w:tcBorders>
            <w:shd w:val="clear" w:color="auto" w:fill="auto"/>
            <w:noWrap/>
            <w:vAlign w:val="center"/>
            <w:hideMark/>
          </w:tcPr>
          <w:p w14:paraId="7A4C656F"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5FDC4FC7"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43B09B9D" w14:textId="77777777" w:rsidTr="00365E11">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E77FE35"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Other communicable, maternal, neonatal, and nutritional diseases</w:t>
            </w:r>
          </w:p>
        </w:tc>
        <w:tc>
          <w:tcPr>
            <w:tcW w:w="1540" w:type="dxa"/>
            <w:tcBorders>
              <w:top w:val="nil"/>
              <w:left w:val="nil"/>
              <w:bottom w:val="single" w:sz="4" w:space="0" w:color="auto"/>
              <w:right w:val="single" w:sz="4" w:space="0" w:color="auto"/>
            </w:tcBorders>
            <w:shd w:val="clear" w:color="auto" w:fill="auto"/>
            <w:noWrap/>
            <w:vAlign w:val="center"/>
            <w:hideMark/>
          </w:tcPr>
          <w:p w14:paraId="4C6014FD"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1D1210A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59163308"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51187201"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94EAA7A"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Communicable NEC*</w:t>
            </w:r>
          </w:p>
        </w:tc>
        <w:tc>
          <w:tcPr>
            <w:tcW w:w="1540" w:type="dxa"/>
            <w:tcBorders>
              <w:top w:val="nil"/>
              <w:left w:val="nil"/>
              <w:bottom w:val="single" w:sz="4" w:space="0" w:color="auto"/>
              <w:right w:val="single" w:sz="4" w:space="0" w:color="auto"/>
            </w:tcBorders>
            <w:shd w:val="clear" w:color="auto" w:fill="auto"/>
            <w:noWrap/>
            <w:vAlign w:val="center"/>
            <w:hideMark/>
          </w:tcPr>
          <w:p w14:paraId="09EEFF5D"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30C73B9F"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66471C60"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12C5B2E6"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1DA761E"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Neoplasms</w:t>
            </w:r>
          </w:p>
        </w:tc>
        <w:tc>
          <w:tcPr>
            <w:tcW w:w="1540" w:type="dxa"/>
            <w:tcBorders>
              <w:top w:val="nil"/>
              <w:left w:val="nil"/>
              <w:bottom w:val="single" w:sz="4" w:space="0" w:color="auto"/>
              <w:right w:val="single" w:sz="4" w:space="0" w:color="auto"/>
            </w:tcBorders>
            <w:shd w:val="clear" w:color="auto" w:fill="auto"/>
            <w:noWrap/>
            <w:vAlign w:val="center"/>
            <w:hideMark/>
          </w:tcPr>
          <w:p w14:paraId="24F22A00"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79421850"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77ABBED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997</w:t>
            </w:r>
          </w:p>
        </w:tc>
      </w:tr>
      <w:tr w:rsidR="00365E11" w:rsidRPr="00365E11" w14:paraId="149D09CE"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56CE537"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Other non-communicable</w:t>
            </w:r>
          </w:p>
        </w:tc>
        <w:tc>
          <w:tcPr>
            <w:tcW w:w="1540" w:type="dxa"/>
            <w:tcBorders>
              <w:top w:val="nil"/>
              <w:left w:val="nil"/>
              <w:bottom w:val="single" w:sz="4" w:space="0" w:color="auto"/>
              <w:right w:val="single" w:sz="4" w:space="0" w:color="auto"/>
            </w:tcBorders>
            <w:shd w:val="clear" w:color="auto" w:fill="auto"/>
            <w:noWrap/>
            <w:vAlign w:val="center"/>
            <w:hideMark/>
          </w:tcPr>
          <w:p w14:paraId="7DA249A4"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55F0108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75B750A0"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r>
      <w:tr w:rsidR="00365E11" w:rsidRPr="00365E11" w14:paraId="24A0606D"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78DEB17"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Cardiovascular diseases</w:t>
            </w:r>
          </w:p>
        </w:tc>
        <w:tc>
          <w:tcPr>
            <w:tcW w:w="1540" w:type="dxa"/>
            <w:tcBorders>
              <w:top w:val="nil"/>
              <w:left w:val="nil"/>
              <w:bottom w:val="single" w:sz="4" w:space="0" w:color="auto"/>
              <w:right w:val="single" w:sz="4" w:space="0" w:color="auto"/>
            </w:tcBorders>
            <w:shd w:val="clear" w:color="auto" w:fill="auto"/>
            <w:noWrap/>
            <w:vAlign w:val="center"/>
            <w:hideMark/>
          </w:tcPr>
          <w:p w14:paraId="4A80C798"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4975DDD2"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49CBA5B1"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r>
      <w:tr w:rsidR="00365E11" w:rsidRPr="00365E11" w14:paraId="7D52D451"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7A0095E"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lastRenderedPageBreak/>
              <w:t>Chronic respiratory</w:t>
            </w:r>
          </w:p>
        </w:tc>
        <w:tc>
          <w:tcPr>
            <w:tcW w:w="1540" w:type="dxa"/>
            <w:tcBorders>
              <w:top w:val="nil"/>
              <w:left w:val="nil"/>
              <w:bottom w:val="single" w:sz="4" w:space="0" w:color="auto"/>
              <w:right w:val="single" w:sz="4" w:space="0" w:color="auto"/>
            </w:tcBorders>
            <w:shd w:val="clear" w:color="auto" w:fill="auto"/>
            <w:noWrap/>
            <w:vAlign w:val="center"/>
            <w:hideMark/>
          </w:tcPr>
          <w:p w14:paraId="119437D7"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7E2EDAA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6687A85D"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861</w:t>
            </w:r>
          </w:p>
        </w:tc>
      </w:tr>
      <w:tr w:rsidR="00365E11" w:rsidRPr="00365E11" w14:paraId="72F9F90E"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DA83423"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Cirrhosis</w:t>
            </w:r>
          </w:p>
        </w:tc>
        <w:tc>
          <w:tcPr>
            <w:tcW w:w="1540" w:type="dxa"/>
            <w:tcBorders>
              <w:top w:val="nil"/>
              <w:left w:val="nil"/>
              <w:bottom w:val="single" w:sz="4" w:space="0" w:color="auto"/>
              <w:right w:val="single" w:sz="4" w:space="0" w:color="auto"/>
            </w:tcBorders>
            <w:shd w:val="clear" w:color="auto" w:fill="auto"/>
            <w:noWrap/>
            <w:vAlign w:val="center"/>
            <w:hideMark/>
          </w:tcPr>
          <w:p w14:paraId="68E527B6"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35</w:t>
            </w:r>
          </w:p>
        </w:tc>
        <w:tc>
          <w:tcPr>
            <w:tcW w:w="1540" w:type="dxa"/>
            <w:tcBorders>
              <w:top w:val="nil"/>
              <w:left w:val="nil"/>
              <w:bottom w:val="single" w:sz="4" w:space="0" w:color="auto"/>
              <w:right w:val="single" w:sz="4" w:space="0" w:color="auto"/>
            </w:tcBorders>
            <w:shd w:val="clear" w:color="auto" w:fill="auto"/>
            <w:noWrap/>
            <w:vAlign w:val="center"/>
            <w:hideMark/>
          </w:tcPr>
          <w:p w14:paraId="3A315AD7"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1276CF43"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24DE8C18"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AD4855E"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Digestive diseases</w:t>
            </w:r>
          </w:p>
        </w:tc>
        <w:tc>
          <w:tcPr>
            <w:tcW w:w="1540" w:type="dxa"/>
            <w:tcBorders>
              <w:top w:val="nil"/>
              <w:left w:val="nil"/>
              <w:bottom w:val="single" w:sz="4" w:space="0" w:color="auto"/>
              <w:right w:val="single" w:sz="4" w:space="0" w:color="auto"/>
            </w:tcBorders>
            <w:shd w:val="clear" w:color="auto" w:fill="auto"/>
            <w:noWrap/>
            <w:vAlign w:val="center"/>
            <w:hideMark/>
          </w:tcPr>
          <w:p w14:paraId="460D6DF2"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0C3FAE11"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02056AC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r>
      <w:tr w:rsidR="00365E11" w:rsidRPr="00365E11" w14:paraId="3F798D68"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8B13DDB"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Neurological disorders</w:t>
            </w:r>
          </w:p>
        </w:tc>
        <w:tc>
          <w:tcPr>
            <w:tcW w:w="1540" w:type="dxa"/>
            <w:tcBorders>
              <w:top w:val="nil"/>
              <w:left w:val="nil"/>
              <w:bottom w:val="single" w:sz="4" w:space="0" w:color="auto"/>
              <w:right w:val="single" w:sz="4" w:space="0" w:color="auto"/>
            </w:tcBorders>
            <w:shd w:val="clear" w:color="auto" w:fill="auto"/>
            <w:noWrap/>
            <w:vAlign w:val="center"/>
            <w:hideMark/>
          </w:tcPr>
          <w:p w14:paraId="129EA978"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6BD808D4"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59D79B9C"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50AC0E6B"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532B18A"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Mental &amp; substance use</w:t>
            </w:r>
          </w:p>
        </w:tc>
        <w:tc>
          <w:tcPr>
            <w:tcW w:w="1540" w:type="dxa"/>
            <w:tcBorders>
              <w:top w:val="nil"/>
              <w:left w:val="nil"/>
              <w:bottom w:val="single" w:sz="4" w:space="0" w:color="auto"/>
              <w:right w:val="single" w:sz="4" w:space="0" w:color="auto"/>
            </w:tcBorders>
            <w:shd w:val="clear" w:color="auto" w:fill="auto"/>
            <w:noWrap/>
            <w:vAlign w:val="center"/>
            <w:hideMark/>
          </w:tcPr>
          <w:p w14:paraId="74D1BE0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2D748DB4"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6B6D06D5"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r>
      <w:tr w:rsidR="00365E11" w:rsidRPr="00365E11" w14:paraId="6E08A167"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3B1EE38"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Diabetes/</w:t>
            </w:r>
            <w:proofErr w:type="spellStart"/>
            <w:r w:rsidRPr="00365E11">
              <w:rPr>
                <w:rFonts w:ascii="Calibri" w:eastAsia="Times New Roman" w:hAnsi="Calibri" w:cs="Times New Roman"/>
                <w:color w:val="000000"/>
              </w:rPr>
              <w:t>urog</w:t>
            </w:r>
            <w:proofErr w:type="spellEnd"/>
            <w:r w:rsidRPr="00365E11">
              <w:rPr>
                <w:rFonts w:ascii="Calibri" w:eastAsia="Times New Roman" w:hAnsi="Calibri" w:cs="Times New Roman"/>
                <w:color w:val="000000"/>
              </w:rPr>
              <w:t>/blood/</w:t>
            </w:r>
            <w:proofErr w:type="spellStart"/>
            <w:r w:rsidRPr="00365E11">
              <w:rPr>
                <w:rFonts w:ascii="Calibri" w:eastAsia="Times New Roman" w:hAnsi="Calibri" w:cs="Times New Roman"/>
                <w:color w:val="000000"/>
              </w:rPr>
              <w:t>endo</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14:paraId="0C0CC1E6"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6077493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5B412A82"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r>
      <w:tr w:rsidR="00365E11" w:rsidRPr="00365E11" w14:paraId="0FEE5CD6"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C24E700"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Musculoskeletal disorders</w:t>
            </w:r>
          </w:p>
        </w:tc>
        <w:tc>
          <w:tcPr>
            <w:tcW w:w="1540" w:type="dxa"/>
            <w:tcBorders>
              <w:top w:val="nil"/>
              <w:left w:val="nil"/>
              <w:bottom w:val="single" w:sz="4" w:space="0" w:color="auto"/>
              <w:right w:val="single" w:sz="4" w:space="0" w:color="auto"/>
            </w:tcBorders>
            <w:shd w:val="clear" w:color="auto" w:fill="auto"/>
            <w:noWrap/>
            <w:vAlign w:val="center"/>
            <w:hideMark/>
          </w:tcPr>
          <w:p w14:paraId="0EBECB23"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4883B2E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7F73937F"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20545EA9"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66C2E39"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Transport injuries</w:t>
            </w:r>
          </w:p>
        </w:tc>
        <w:tc>
          <w:tcPr>
            <w:tcW w:w="1540" w:type="dxa"/>
            <w:tcBorders>
              <w:top w:val="nil"/>
              <w:left w:val="nil"/>
              <w:bottom w:val="single" w:sz="4" w:space="0" w:color="auto"/>
              <w:right w:val="single" w:sz="4" w:space="0" w:color="auto"/>
            </w:tcBorders>
            <w:shd w:val="clear" w:color="auto" w:fill="auto"/>
            <w:noWrap/>
            <w:vAlign w:val="center"/>
            <w:hideMark/>
          </w:tcPr>
          <w:p w14:paraId="3F360830"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16E4FE38"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69F96995"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333BAA01"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FC03197"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Unintentional injuries</w:t>
            </w:r>
          </w:p>
        </w:tc>
        <w:tc>
          <w:tcPr>
            <w:tcW w:w="1540" w:type="dxa"/>
            <w:tcBorders>
              <w:top w:val="nil"/>
              <w:left w:val="nil"/>
              <w:bottom w:val="single" w:sz="4" w:space="0" w:color="auto"/>
              <w:right w:val="single" w:sz="4" w:space="0" w:color="auto"/>
            </w:tcBorders>
            <w:shd w:val="clear" w:color="auto" w:fill="auto"/>
            <w:noWrap/>
            <w:vAlign w:val="center"/>
            <w:hideMark/>
          </w:tcPr>
          <w:p w14:paraId="6B3B5089"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5D8D7A13"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179110BC"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r>
      <w:tr w:rsidR="00365E11" w:rsidRPr="00365E11" w14:paraId="1887D763"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2F5BA90"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Intentional injuries</w:t>
            </w:r>
          </w:p>
        </w:tc>
        <w:tc>
          <w:tcPr>
            <w:tcW w:w="1540" w:type="dxa"/>
            <w:tcBorders>
              <w:top w:val="nil"/>
              <w:left w:val="nil"/>
              <w:bottom w:val="single" w:sz="4" w:space="0" w:color="auto"/>
              <w:right w:val="single" w:sz="4" w:space="0" w:color="auto"/>
            </w:tcBorders>
            <w:shd w:val="clear" w:color="auto" w:fill="auto"/>
            <w:noWrap/>
            <w:vAlign w:val="center"/>
            <w:hideMark/>
          </w:tcPr>
          <w:p w14:paraId="7802E3C0"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21E83AD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6526B202"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202A5B32"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E5EB095"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War &amp; disaster</w:t>
            </w:r>
          </w:p>
        </w:tc>
        <w:tc>
          <w:tcPr>
            <w:tcW w:w="1540" w:type="dxa"/>
            <w:tcBorders>
              <w:top w:val="nil"/>
              <w:left w:val="nil"/>
              <w:bottom w:val="single" w:sz="4" w:space="0" w:color="auto"/>
              <w:right w:val="single" w:sz="4" w:space="0" w:color="auto"/>
            </w:tcBorders>
            <w:shd w:val="clear" w:color="auto" w:fill="auto"/>
            <w:noWrap/>
            <w:vAlign w:val="center"/>
            <w:hideMark/>
          </w:tcPr>
          <w:p w14:paraId="01A8FFC7"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4B6918E2"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19EC7AA9"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08C8198F"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3F950AD"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Injuries NEC*</w:t>
            </w:r>
          </w:p>
        </w:tc>
        <w:tc>
          <w:tcPr>
            <w:tcW w:w="1540" w:type="dxa"/>
            <w:tcBorders>
              <w:top w:val="nil"/>
              <w:left w:val="nil"/>
              <w:bottom w:val="single" w:sz="4" w:space="0" w:color="auto"/>
              <w:right w:val="single" w:sz="4" w:space="0" w:color="auto"/>
            </w:tcBorders>
            <w:shd w:val="clear" w:color="auto" w:fill="auto"/>
            <w:noWrap/>
            <w:vAlign w:val="center"/>
            <w:hideMark/>
          </w:tcPr>
          <w:p w14:paraId="5E98C993"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2679E63E"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2D82AA32"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1B439C63"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F892ACF"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Well person</w:t>
            </w:r>
          </w:p>
        </w:tc>
        <w:tc>
          <w:tcPr>
            <w:tcW w:w="1540" w:type="dxa"/>
            <w:tcBorders>
              <w:top w:val="nil"/>
              <w:left w:val="nil"/>
              <w:bottom w:val="single" w:sz="4" w:space="0" w:color="auto"/>
              <w:right w:val="single" w:sz="4" w:space="0" w:color="auto"/>
            </w:tcBorders>
            <w:shd w:val="clear" w:color="auto" w:fill="auto"/>
            <w:noWrap/>
            <w:vAlign w:val="center"/>
            <w:hideMark/>
          </w:tcPr>
          <w:p w14:paraId="4C3C3951"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3D6FA47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7F05C42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r>
      <w:tr w:rsidR="00365E11" w:rsidRPr="00365E11" w14:paraId="75795680"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BD331B3"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Pregnancy and postpartum care</w:t>
            </w:r>
          </w:p>
        </w:tc>
        <w:tc>
          <w:tcPr>
            <w:tcW w:w="1540" w:type="dxa"/>
            <w:tcBorders>
              <w:top w:val="nil"/>
              <w:left w:val="nil"/>
              <w:bottom w:val="single" w:sz="4" w:space="0" w:color="auto"/>
              <w:right w:val="single" w:sz="4" w:space="0" w:color="auto"/>
            </w:tcBorders>
            <w:shd w:val="clear" w:color="auto" w:fill="auto"/>
            <w:noWrap/>
            <w:vAlign w:val="center"/>
            <w:hideMark/>
          </w:tcPr>
          <w:p w14:paraId="40264830"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17AC4111"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4648E4AB"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r>
      <w:tr w:rsidR="00365E11" w:rsidRPr="00365E11" w14:paraId="64A79514"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AF8594C"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Dental</w:t>
            </w:r>
          </w:p>
        </w:tc>
        <w:tc>
          <w:tcPr>
            <w:tcW w:w="1540" w:type="dxa"/>
            <w:tcBorders>
              <w:top w:val="nil"/>
              <w:left w:val="nil"/>
              <w:bottom w:val="single" w:sz="4" w:space="0" w:color="auto"/>
              <w:right w:val="single" w:sz="4" w:space="0" w:color="auto"/>
            </w:tcBorders>
            <w:shd w:val="clear" w:color="auto" w:fill="auto"/>
            <w:noWrap/>
            <w:vAlign w:val="center"/>
            <w:hideMark/>
          </w:tcPr>
          <w:p w14:paraId="3486888F"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2831A886"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c>
          <w:tcPr>
            <w:tcW w:w="1540" w:type="dxa"/>
            <w:tcBorders>
              <w:top w:val="nil"/>
              <w:left w:val="nil"/>
              <w:bottom w:val="single" w:sz="4" w:space="0" w:color="auto"/>
              <w:right w:val="single" w:sz="4" w:space="0" w:color="auto"/>
            </w:tcBorders>
            <w:shd w:val="clear" w:color="auto" w:fill="auto"/>
            <w:noWrap/>
            <w:vAlign w:val="center"/>
            <w:hideMark/>
          </w:tcPr>
          <w:p w14:paraId="141AD69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1000</w:t>
            </w:r>
          </w:p>
        </w:tc>
      </w:tr>
      <w:tr w:rsidR="00365E11" w:rsidRPr="00365E11" w14:paraId="4952696F"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0C0F16E1"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Family planning</w:t>
            </w:r>
          </w:p>
        </w:tc>
        <w:tc>
          <w:tcPr>
            <w:tcW w:w="1540" w:type="dxa"/>
            <w:tcBorders>
              <w:top w:val="nil"/>
              <w:left w:val="nil"/>
              <w:bottom w:val="single" w:sz="4" w:space="0" w:color="auto"/>
              <w:right w:val="single" w:sz="4" w:space="0" w:color="auto"/>
            </w:tcBorders>
            <w:shd w:val="clear" w:color="auto" w:fill="auto"/>
            <w:noWrap/>
            <w:vAlign w:val="center"/>
            <w:hideMark/>
          </w:tcPr>
          <w:p w14:paraId="39ED7DD2"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6700B116"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209683FE"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04509C50"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9A3B012"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Donor</w:t>
            </w:r>
          </w:p>
        </w:tc>
        <w:tc>
          <w:tcPr>
            <w:tcW w:w="1540" w:type="dxa"/>
            <w:tcBorders>
              <w:top w:val="nil"/>
              <w:left w:val="nil"/>
              <w:bottom w:val="single" w:sz="4" w:space="0" w:color="auto"/>
              <w:right w:val="single" w:sz="4" w:space="0" w:color="auto"/>
            </w:tcBorders>
            <w:shd w:val="clear" w:color="auto" w:fill="auto"/>
            <w:noWrap/>
            <w:vAlign w:val="center"/>
            <w:hideMark/>
          </w:tcPr>
          <w:p w14:paraId="17A6A032"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998</w:t>
            </w:r>
          </w:p>
        </w:tc>
        <w:tc>
          <w:tcPr>
            <w:tcW w:w="1540" w:type="dxa"/>
            <w:tcBorders>
              <w:top w:val="nil"/>
              <w:left w:val="nil"/>
              <w:bottom w:val="single" w:sz="4" w:space="0" w:color="auto"/>
              <w:right w:val="single" w:sz="4" w:space="0" w:color="auto"/>
            </w:tcBorders>
            <w:shd w:val="clear" w:color="auto" w:fill="auto"/>
            <w:noWrap/>
            <w:vAlign w:val="center"/>
            <w:hideMark/>
          </w:tcPr>
          <w:p w14:paraId="6E5C692A"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998</w:t>
            </w:r>
          </w:p>
        </w:tc>
        <w:tc>
          <w:tcPr>
            <w:tcW w:w="1540" w:type="dxa"/>
            <w:tcBorders>
              <w:top w:val="nil"/>
              <w:left w:val="nil"/>
              <w:bottom w:val="single" w:sz="4" w:space="0" w:color="auto"/>
              <w:right w:val="single" w:sz="4" w:space="0" w:color="auto"/>
            </w:tcBorders>
            <w:shd w:val="clear" w:color="auto" w:fill="auto"/>
            <w:noWrap/>
            <w:vAlign w:val="center"/>
            <w:hideMark/>
          </w:tcPr>
          <w:p w14:paraId="6A3B69A4"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998</w:t>
            </w:r>
          </w:p>
        </w:tc>
      </w:tr>
      <w:tr w:rsidR="00365E11" w:rsidRPr="00365E11" w14:paraId="0BEE95B8"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3895379"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Counselling services</w:t>
            </w:r>
          </w:p>
        </w:tc>
        <w:tc>
          <w:tcPr>
            <w:tcW w:w="1540" w:type="dxa"/>
            <w:tcBorders>
              <w:top w:val="nil"/>
              <w:left w:val="nil"/>
              <w:bottom w:val="single" w:sz="4" w:space="0" w:color="auto"/>
              <w:right w:val="single" w:sz="4" w:space="0" w:color="auto"/>
            </w:tcBorders>
            <w:shd w:val="clear" w:color="auto" w:fill="auto"/>
            <w:noWrap/>
            <w:vAlign w:val="center"/>
            <w:hideMark/>
          </w:tcPr>
          <w:p w14:paraId="66541B73"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43AE0A75"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06D3F1C4"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3FACCE89" w14:textId="77777777" w:rsidTr="00365E1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AF25915"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Clinical support</w:t>
            </w:r>
          </w:p>
        </w:tc>
        <w:tc>
          <w:tcPr>
            <w:tcW w:w="1540" w:type="dxa"/>
            <w:tcBorders>
              <w:top w:val="nil"/>
              <w:left w:val="nil"/>
              <w:bottom w:val="single" w:sz="4" w:space="0" w:color="auto"/>
              <w:right w:val="single" w:sz="4" w:space="0" w:color="auto"/>
            </w:tcBorders>
            <w:shd w:val="clear" w:color="auto" w:fill="auto"/>
            <w:noWrap/>
            <w:vAlign w:val="center"/>
            <w:hideMark/>
          </w:tcPr>
          <w:p w14:paraId="1E505F09"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0C5A9F09"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c>
          <w:tcPr>
            <w:tcW w:w="1540" w:type="dxa"/>
            <w:tcBorders>
              <w:top w:val="nil"/>
              <w:left w:val="nil"/>
              <w:bottom w:val="single" w:sz="4" w:space="0" w:color="auto"/>
              <w:right w:val="single" w:sz="4" w:space="0" w:color="auto"/>
            </w:tcBorders>
            <w:shd w:val="clear" w:color="auto" w:fill="auto"/>
            <w:noWrap/>
            <w:vAlign w:val="center"/>
            <w:hideMark/>
          </w:tcPr>
          <w:p w14:paraId="0B93C9AE"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0</w:t>
            </w:r>
          </w:p>
        </w:tc>
      </w:tr>
      <w:tr w:rsidR="00365E11" w:rsidRPr="00365E11" w14:paraId="16B7B564" w14:textId="77777777" w:rsidTr="00365E11">
        <w:trPr>
          <w:trHeight w:val="300"/>
        </w:trPr>
        <w:tc>
          <w:tcPr>
            <w:tcW w:w="3340" w:type="dxa"/>
            <w:tcBorders>
              <w:top w:val="nil"/>
              <w:left w:val="single" w:sz="4" w:space="0" w:color="auto"/>
              <w:bottom w:val="nil"/>
              <w:right w:val="single" w:sz="4" w:space="0" w:color="auto"/>
            </w:tcBorders>
            <w:shd w:val="clear" w:color="auto" w:fill="auto"/>
            <w:noWrap/>
            <w:vAlign w:val="center"/>
            <w:hideMark/>
          </w:tcPr>
          <w:p w14:paraId="637C2BB1"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Social services</w:t>
            </w:r>
          </w:p>
        </w:tc>
        <w:tc>
          <w:tcPr>
            <w:tcW w:w="1540" w:type="dxa"/>
            <w:tcBorders>
              <w:top w:val="nil"/>
              <w:left w:val="nil"/>
              <w:bottom w:val="nil"/>
              <w:right w:val="single" w:sz="4" w:space="0" w:color="auto"/>
            </w:tcBorders>
            <w:shd w:val="clear" w:color="auto" w:fill="auto"/>
            <w:noWrap/>
            <w:vAlign w:val="center"/>
            <w:hideMark/>
          </w:tcPr>
          <w:p w14:paraId="2DA521E8"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820</w:t>
            </w:r>
          </w:p>
        </w:tc>
        <w:tc>
          <w:tcPr>
            <w:tcW w:w="1540" w:type="dxa"/>
            <w:tcBorders>
              <w:top w:val="nil"/>
              <w:left w:val="nil"/>
              <w:bottom w:val="nil"/>
              <w:right w:val="single" w:sz="4" w:space="0" w:color="auto"/>
            </w:tcBorders>
            <w:shd w:val="clear" w:color="auto" w:fill="auto"/>
            <w:noWrap/>
            <w:vAlign w:val="center"/>
            <w:hideMark/>
          </w:tcPr>
          <w:p w14:paraId="33129DBE"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820</w:t>
            </w:r>
          </w:p>
        </w:tc>
        <w:tc>
          <w:tcPr>
            <w:tcW w:w="1540" w:type="dxa"/>
            <w:tcBorders>
              <w:top w:val="nil"/>
              <w:left w:val="nil"/>
              <w:bottom w:val="nil"/>
              <w:right w:val="single" w:sz="4" w:space="0" w:color="auto"/>
            </w:tcBorders>
            <w:shd w:val="clear" w:color="auto" w:fill="auto"/>
            <w:noWrap/>
            <w:vAlign w:val="center"/>
            <w:hideMark/>
          </w:tcPr>
          <w:p w14:paraId="6C3A6168" w14:textId="77777777" w:rsidR="00365E11" w:rsidRPr="00365E11" w:rsidRDefault="00365E11" w:rsidP="00365E11">
            <w:pPr>
              <w:spacing w:after="0" w:line="240" w:lineRule="auto"/>
              <w:jc w:val="center"/>
              <w:rPr>
                <w:rFonts w:ascii="Calibri" w:eastAsia="Times New Roman" w:hAnsi="Calibri" w:cs="Times New Roman"/>
                <w:color w:val="000000"/>
              </w:rPr>
            </w:pPr>
            <w:r w:rsidRPr="00365E11">
              <w:rPr>
                <w:rFonts w:ascii="Calibri" w:eastAsia="Times New Roman" w:hAnsi="Calibri" w:cs="Times New Roman"/>
                <w:color w:val="000000"/>
              </w:rPr>
              <w:t>820</w:t>
            </w:r>
          </w:p>
        </w:tc>
      </w:tr>
      <w:tr w:rsidR="00365E11" w:rsidRPr="00365E11" w14:paraId="11FA1C43" w14:textId="77777777" w:rsidTr="00365E11">
        <w:trPr>
          <w:trHeight w:val="300"/>
        </w:trPr>
        <w:tc>
          <w:tcPr>
            <w:tcW w:w="3340" w:type="dxa"/>
            <w:tcBorders>
              <w:top w:val="single" w:sz="4" w:space="0" w:color="auto"/>
              <w:left w:val="nil"/>
              <w:bottom w:val="nil"/>
              <w:right w:val="nil"/>
            </w:tcBorders>
            <w:shd w:val="clear" w:color="auto" w:fill="auto"/>
            <w:noWrap/>
            <w:vAlign w:val="center"/>
            <w:hideMark/>
          </w:tcPr>
          <w:p w14:paraId="20B6724E"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*NEC=Not Elsewhere Classified</w:t>
            </w:r>
          </w:p>
        </w:tc>
        <w:tc>
          <w:tcPr>
            <w:tcW w:w="1540" w:type="dxa"/>
            <w:tcBorders>
              <w:top w:val="single" w:sz="4" w:space="0" w:color="auto"/>
              <w:left w:val="nil"/>
              <w:bottom w:val="nil"/>
              <w:right w:val="nil"/>
            </w:tcBorders>
            <w:shd w:val="clear" w:color="auto" w:fill="auto"/>
            <w:noWrap/>
            <w:vAlign w:val="bottom"/>
            <w:hideMark/>
          </w:tcPr>
          <w:p w14:paraId="124BDDED"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 </w:t>
            </w:r>
          </w:p>
        </w:tc>
        <w:tc>
          <w:tcPr>
            <w:tcW w:w="1540" w:type="dxa"/>
            <w:tcBorders>
              <w:top w:val="single" w:sz="4" w:space="0" w:color="auto"/>
              <w:left w:val="nil"/>
              <w:bottom w:val="nil"/>
              <w:right w:val="nil"/>
            </w:tcBorders>
            <w:shd w:val="clear" w:color="auto" w:fill="auto"/>
            <w:noWrap/>
            <w:vAlign w:val="bottom"/>
            <w:hideMark/>
          </w:tcPr>
          <w:p w14:paraId="038D7A6F"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 </w:t>
            </w:r>
          </w:p>
        </w:tc>
        <w:tc>
          <w:tcPr>
            <w:tcW w:w="1540" w:type="dxa"/>
            <w:tcBorders>
              <w:top w:val="single" w:sz="4" w:space="0" w:color="auto"/>
              <w:left w:val="nil"/>
              <w:bottom w:val="nil"/>
              <w:right w:val="nil"/>
            </w:tcBorders>
            <w:shd w:val="clear" w:color="auto" w:fill="auto"/>
            <w:noWrap/>
            <w:vAlign w:val="bottom"/>
            <w:hideMark/>
          </w:tcPr>
          <w:p w14:paraId="659EA3AD" w14:textId="77777777" w:rsidR="00365E11" w:rsidRPr="00365E11" w:rsidRDefault="00365E11" w:rsidP="00365E11">
            <w:pPr>
              <w:spacing w:after="0" w:line="240" w:lineRule="auto"/>
              <w:rPr>
                <w:rFonts w:ascii="Calibri" w:eastAsia="Times New Roman" w:hAnsi="Calibri" w:cs="Times New Roman"/>
                <w:color w:val="000000"/>
              </w:rPr>
            </w:pPr>
            <w:r w:rsidRPr="00365E11">
              <w:rPr>
                <w:rFonts w:ascii="Calibri" w:eastAsia="Times New Roman" w:hAnsi="Calibri" w:cs="Times New Roman"/>
                <w:color w:val="000000"/>
              </w:rPr>
              <w:t> </w:t>
            </w:r>
          </w:p>
        </w:tc>
      </w:tr>
    </w:tbl>
    <w:p w14:paraId="11C51A9F" w14:textId="77777777" w:rsidR="00A866DA" w:rsidRDefault="00A866DA" w:rsidP="000A0182">
      <w:pPr>
        <w:spacing w:after="0" w:line="240" w:lineRule="auto"/>
        <w:rPr>
          <w:rFonts w:eastAsia="Times New Roman" w:cs="Times New Roman"/>
          <w:color w:val="000000"/>
        </w:rPr>
      </w:pPr>
    </w:p>
    <w:p w14:paraId="63B5AA64" w14:textId="77777777" w:rsidR="00A866DA" w:rsidRPr="00F56B0D" w:rsidRDefault="00A866DA" w:rsidP="000A0182">
      <w:pPr>
        <w:spacing w:after="0" w:line="240" w:lineRule="auto"/>
        <w:rPr>
          <w:rFonts w:eastAsia="Times New Roman" w:cs="Times New Roman"/>
          <w:color w:val="000000"/>
        </w:rPr>
      </w:pPr>
    </w:p>
    <w:p w14:paraId="4162ECFE" w14:textId="2CBBD3AE" w:rsidR="00DA6749" w:rsidRPr="005D1F00" w:rsidRDefault="003152F0" w:rsidP="000A0182">
      <w:pPr>
        <w:spacing w:after="0" w:line="240" w:lineRule="auto"/>
        <w:rPr>
          <w:rFonts w:eastAsia="Times New Roman" w:cs="Times New Roman"/>
          <w:color w:val="000000"/>
        </w:rPr>
      </w:pPr>
      <w:r w:rsidRPr="00F56B0D">
        <w:rPr>
          <w:rFonts w:eastAsia="Times New Roman" w:cs="Times New Roman"/>
          <w:color w:val="000000"/>
        </w:rPr>
        <w:t xml:space="preserve">The first version of the model supposes that the payment ratio changes over time for that payer, while the second version simply takes the average over the </w:t>
      </w:r>
      <w:r w:rsidR="008B4E8E" w:rsidRPr="00F56B0D">
        <w:rPr>
          <w:rFonts w:eastAsia="Times New Roman" w:cs="Times New Roman"/>
          <w:color w:val="000000"/>
        </w:rPr>
        <w:t xml:space="preserve">entire </w:t>
      </w:r>
      <w:r w:rsidRPr="00F56B0D">
        <w:rPr>
          <w:rFonts w:eastAsia="Times New Roman" w:cs="Times New Roman"/>
          <w:color w:val="000000"/>
        </w:rPr>
        <w:t>time period.</w:t>
      </w:r>
      <w:r w:rsidR="00843FDB" w:rsidRPr="00F56B0D">
        <w:rPr>
          <w:rFonts w:eastAsia="Times New Roman" w:cs="Times New Roman"/>
          <w:color w:val="000000"/>
        </w:rPr>
        <w:t> </w:t>
      </w:r>
      <w:r w:rsidRPr="00F56B0D">
        <w:rPr>
          <w:rFonts w:eastAsia="Times New Roman" w:cs="Times New Roman"/>
          <w:color w:val="000000"/>
        </w:rPr>
        <w:t>Regarding the threshold chosen for this distinction, t</w:t>
      </w:r>
      <w:r w:rsidR="00843FDB" w:rsidRPr="00F56B0D">
        <w:rPr>
          <w:rFonts w:eastAsia="Times New Roman" w:cs="Times New Roman"/>
          <w:color w:val="000000"/>
        </w:rPr>
        <w:t xml:space="preserve">here are </w:t>
      </w:r>
      <w:r w:rsidR="009B2370" w:rsidRPr="00F56B0D">
        <w:rPr>
          <w:rFonts w:eastAsia="Times New Roman" w:cs="Times New Roman"/>
          <w:color w:val="000000"/>
        </w:rPr>
        <w:t xml:space="preserve">conflicting </w:t>
      </w:r>
      <w:r w:rsidR="00843FDB" w:rsidRPr="00F56B0D">
        <w:rPr>
          <w:rFonts w:eastAsia="Times New Roman" w:cs="Times New Roman"/>
          <w:color w:val="000000"/>
        </w:rPr>
        <w:t>opinions concerning the number of observations needed to run a multivariate linear regression</w:t>
      </w:r>
      <w:r w:rsidR="007A622E">
        <w:rPr>
          <w:rFonts w:eastAsia="Times New Roman" w:cs="Times New Roman"/>
          <w:color w:val="000000"/>
        </w:rPr>
        <w:t xml:space="preserve"> </w:t>
      </w:r>
      <w:r w:rsidR="007A622E">
        <w:rPr>
          <w:rFonts w:eastAsia="Times New Roman" w:cs="Times New Roman"/>
          <w:color w:val="000000"/>
        </w:rPr>
        <w:fldChar w:fldCharType="begin"/>
      </w:r>
      <w:r w:rsidR="00B00556">
        <w:rPr>
          <w:rFonts w:eastAsia="Times New Roman" w:cs="Times New Roman"/>
          <w:color w:val="000000"/>
        </w:rPr>
        <w:instrText xml:space="preserve"> ADDIN ZOTERO_ITEM CSL_CITATION {"citationID":"1pa1n1cj05","properties":{"formattedCitation":"[7,8]","plainCitation":"[7,8]"},"citationItems":[{"id":46129,"uris":["http://zotero.org/groups/21876/items/DUQ5MSBM"],"uri":["http://zotero.org/groups/21876/items/DUQ5MSBM"],"itemData":{"id":46129,"type":"article-journal","title":"Linear Regression Analysis","container-title":"Deutsches Ärzteblatt International","page":"776-782","volume":"107","issue":"44","source":"PubMed Central","abstract":"Background\nRegression analysis is an important statistical method for the analysis of medical data. It enables the identification and characterization of relationships among multiple factors. It also enables the identification of prognostically relevant risk factors and the calculation of risk scores for individual prognostication.\n\nMethods\nThis article is based on selected textbooks of statistics, a selective review of the literature, and our own experience.\n\nResults\nAfter a brief introduction of the uni- and multivariable regression models, illustrative examples are given to explain what the important considerations are before a regression analysis is performed, and how the results should be interpreted. The reader should then be able to judge whether the method has been used correctly and interpret the results appropriately.\n\nConclusion\nThe performance and interpretation of linear regression analysis are subject to a variety of pitfalls, which are discussed here in detail. The reader is made aware of common errors of interpretation through practical examples. Both the opportunities for applying linear regression analysis and its limitations are presented.","DOI":"10.3238/arztebl.2010.0776","ISSN":"1866-0452","note":"PMID: 21116397\nPMCID: PMC2992018","journalAbbreviation":"Dtsch Arztebl Int","author":[{"family":"Schneider","given":"Astrid"},{"family":"Hommel","given":"Gerhard"},{"family":"Blettner","given":"Maria"}],"issued":{"date-parts":[["2010",11]]},"accessed":{"date-parts":[["2015",5,29]]},"PMID":"21116397"},"label":"page"},{"id":46131,"uris":["http://zotero.org/groups/21876/items/W8UQ6NWB"],"uri":["http://zotero.org/groups/21876/items/W8UQ6NWB"],"itemData":{"id":46131,"type":"article-journal","title":"How Many Subjects Does It Take To Do A Regression Analysis","container-title":"Multivariate Behavioral Research","page":"499-510","volume":"26","issue":"3","source":"Taylor and Francis+NEJM","abstract":"Numerous rules-of-thumb have been suggested for determining the minimum number of subjects required to conduct multiple regression analyses. These rules-of-thumb are evaluated by comparing their results against those based on power analyses for tests of hypotheses of multiple and partial correlations. The results did not support the use of rules-of-thumb that simply specify some constant (e.g., 100 subjects) as the minimum number of subjects or a minimum ratio of number of subjects (N) to number of predictors (m). Some support was obtained for a rule-of-thumb that N ≥ 50 + 8 m for the multiple correlation and N ≥104 + m for the partial correlation. However, the rule-of-thumb for the multiple correlation yields values too large for N when m ≥ 7, and both rules-of-thumb assume all studies have a medium-size relationship between criterion and predictors. Accordingly, a slightly more complex rule-of thumb is introduced that estimates minimum sample size as function of effect size as well as the number of predictors. It is argued that researchers should use methods to determine sample size that incorporate effect size.","DOI":"10.1207/s15327906mbr2603_7","ISSN":"0027-3171","author":[{"family":"Green","given":"Samuel B."}],"issued":{"date-parts":[["1991",7,1]]},"accessed":{"date-parts":[["2015",5,29]]}},"label":"page"}],"schema":"https://github.com/citation-style-language/schema/raw/master/csl-citation.json"} </w:instrText>
      </w:r>
      <w:r w:rsidR="007A622E">
        <w:rPr>
          <w:rFonts w:eastAsia="Times New Roman" w:cs="Times New Roman"/>
          <w:color w:val="000000"/>
        </w:rPr>
        <w:fldChar w:fldCharType="separate"/>
      </w:r>
      <w:r w:rsidR="00B00556" w:rsidRPr="00B00556">
        <w:rPr>
          <w:rFonts w:ascii="Calibri" w:hAnsi="Calibri"/>
        </w:rPr>
        <w:t>[7,8]</w:t>
      </w:r>
      <w:r w:rsidR="007A622E">
        <w:rPr>
          <w:rFonts w:eastAsia="Times New Roman" w:cs="Times New Roman"/>
          <w:color w:val="000000"/>
        </w:rPr>
        <w:fldChar w:fldCharType="end"/>
      </w:r>
      <w:r w:rsidR="00843FDB" w:rsidRPr="00F56B0D">
        <w:rPr>
          <w:rFonts w:eastAsia="Times New Roman" w:cs="Times New Roman"/>
          <w:color w:val="222222"/>
          <w:shd w:val="clear" w:color="auto" w:fill="FFFFFF"/>
        </w:rPr>
        <w:t xml:space="preserve">. </w:t>
      </w:r>
      <w:r w:rsidR="009739AD" w:rsidRPr="00F56B0D">
        <w:rPr>
          <w:rFonts w:eastAsia="Times New Roman" w:cs="Times New Roman"/>
          <w:color w:val="222222"/>
          <w:shd w:val="clear" w:color="auto" w:fill="FFFFFF"/>
        </w:rPr>
        <w:t xml:space="preserve">The </w:t>
      </w:r>
      <w:r w:rsidR="00843FDB" w:rsidRPr="00F56B0D">
        <w:rPr>
          <w:rFonts w:eastAsia="Times New Roman" w:cs="Times New Roman"/>
          <w:color w:val="222222"/>
          <w:shd w:val="clear" w:color="auto" w:fill="FFFFFF"/>
        </w:rPr>
        <w:t xml:space="preserve">threshold </w:t>
      </w:r>
      <w:r w:rsidR="00D2620F">
        <w:rPr>
          <w:rFonts w:eastAsia="Times New Roman" w:cs="Times New Roman"/>
          <w:color w:val="222222"/>
          <w:shd w:val="clear" w:color="auto" w:fill="FFFFFF"/>
        </w:rPr>
        <w:t xml:space="preserve">used </w:t>
      </w:r>
      <w:r w:rsidR="00843FDB" w:rsidRPr="00F56B0D">
        <w:rPr>
          <w:rFonts w:eastAsia="Times New Roman" w:cs="Times New Roman"/>
          <w:color w:val="222222"/>
          <w:shd w:val="clear" w:color="auto" w:fill="FFFFFF"/>
        </w:rPr>
        <w:t>was a conservative estimate, motivated</w:t>
      </w:r>
      <w:r w:rsidR="009B2370" w:rsidRPr="00F56B0D">
        <w:rPr>
          <w:rFonts w:eastAsia="Times New Roman" w:cs="Times New Roman"/>
          <w:color w:val="222222"/>
          <w:shd w:val="clear" w:color="auto" w:fill="FFFFFF"/>
        </w:rPr>
        <w:t xml:space="preserve"> both</w:t>
      </w:r>
      <w:r w:rsidR="00843FDB" w:rsidRPr="00F56B0D">
        <w:rPr>
          <w:rFonts w:eastAsia="Times New Roman" w:cs="Times New Roman"/>
          <w:color w:val="222222"/>
          <w:shd w:val="clear" w:color="auto" w:fill="FFFFFF"/>
        </w:rPr>
        <w:t xml:space="preserve"> by the consideration that estimating </w:t>
      </w:r>
      <w:r w:rsidR="00843FDB" w:rsidRPr="00F56B0D">
        <w:rPr>
          <w:rFonts w:eastAsia="Times New Roman" w:cs="Times New Roman"/>
          <w:color w:val="000000"/>
        </w:rPr>
        <w:t>no change in payment</w:t>
      </w:r>
      <w:r w:rsidR="00DC5830" w:rsidRPr="00F56B0D">
        <w:rPr>
          <w:rFonts w:eastAsia="Times New Roman" w:cs="Times New Roman"/>
          <w:color w:val="000000"/>
        </w:rPr>
        <w:t xml:space="preserve"> </w:t>
      </w:r>
      <w:r w:rsidR="00843FDB" w:rsidRPr="00F56B0D">
        <w:rPr>
          <w:rFonts w:eastAsia="Times New Roman" w:cs="Times New Roman"/>
          <w:color w:val="000000"/>
        </w:rPr>
        <w:t>ratio</w:t>
      </w:r>
      <w:r w:rsidRPr="00F56B0D">
        <w:rPr>
          <w:rFonts w:eastAsia="Times New Roman" w:cs="Times New Roman"/>
          <w:color w:val="000000"/>
        </w:rPr>
        <w:t xml:space="preserve"> over time</w:t>
      </w:r>
      <w:r w:rsidR="00843FDB" w:rsidRPr="00F56B0D">
        <w:rPr>
          <w:rFonts w:eastAsia="Times New Roman" w:cs="Times New Roman"/>
          <w:color w:val="000000"/>
        </w:rPr>
        <w:t xml:space="preserve"> is a better option tha</w:t>
      </w:r>
      <w:r w:rsidR="00190FB0">
        <w:rPr>
          <w:rFonts w:eastAsia="Times New Roman" w:cs="Times New Roman"/>
          <w:color w:val="000000"/>
        </w:rPr>
        <w:t>n</w:t>
      </w:r>
      <w:r w:rsidR="00843FDB" w:rsidRPr="00F56B0D">
        <w:rPr>
          <w:rFonts w:eastAsia="Times New Roman" w:cs="Times New Roman"/>
          <w:color w:val="000000"/>
        </w:rPr>
        <w:t xml:space="preserve"> estimating a </w:t>
      </w:r>
      <w:r w:rsidR="00190FB0">
        <w:rPr>
          <w:rFonts w:eastAsia="Times New Roman" w:cs="Times New Roman"/>
          <w:color w:val="000000"/>
        </w:rPr>
        <w:t xml:space="preserve">spurious </w:t>
      </w:r>
      <w:r w:rsidR="00843FDB" w:rsidRPr="00F56B0D">
        <w:rPr>
          <w:rFonts w:eastAsia="Times New Roman" w:cs="Times New Roman"/>
          <w:color w:val="000000"/>
        </w:rPr>
        <w:t>trend</w:t>
      </w:r>
      <w:r w:rsidR="008B4E8E" w:rsidRPr="00F56B0D">
        <w:rPr>
          <w:rFonts w:eastAsia="Times New Roman" w:cs="Times New Roman"/>
          <w:color w:val="000000"/>
        </w:rPr>
        <w:t xml:space="preserve"> biased by data outliers</w:t>
      </w:r>
      <w:r w:rsidR="00190FB0">
        <w:rPr>
          <w:rFonts w:eastAsia="Times New Roman" w:cs="Times New Roman"/>
          <w:color w:val="000000"/>
        </w:rPr>
        <w:t>,</w:t>
      </w:r>
      <w:r w:rsidR="009B2370" w:rsidRPr="00F56B0D">
        <w:rPr>
          <w:rFonts w:eastAsia="Times New Roman" w:cs="Times New Roman"/>
          <w:color w:val="000000"/>
        </w:rPr>
        <w:t xml:space="preserve"> and by the fact that data points </w:t>
      </w:r>
      <w:r w:rsidR="0073424E" w:rsidRPr="00F56B0D">
        <w:rPr>
          <w:rFonts w:eastAsia="Times New Roman" w:cs="Times New Roman"/>
          <w:color w:val="000000"/>
        </w:rPr>
        <w:t xml:space="preserve">were borrowed </w:t>
      </w:r>
      <w:r w:rsidR="009B2370" w:rsidRPr="00F56B0D">
        <w:rPr>
          <w:rFonts w:eastAsia="Times New Roman" w:cs="Times New Roman"/>
          <w:color w:val="000000"/>
        </w:rPr>
        <w:t xml:space="preserve">from neighboring years in </w:t>
      </w:r>
      <w:r w:rsidR="00A82067" w:rsidRPr="00F56B0D">
        <w:rPr>
          <w:rFonts w:eastAsia="Times New Roman" w:cs="Times New Roman"/>
          <w:color w:val="000000"/>
        </w:rPr>
        <w:t>MEPS</w:t>
      </w:r>
      <w:r w:rsidR="00005534">
        <w:rPr>
          <w:rFonts w:eastAsia="Times New Roman" w:cs="Times New Roman"/>
          <w:color w:val="000000"/>
        </w:rPr>
        <w:t xml:space="preserve">, so the underlying source of data has fewer observations than the dataset that is regressed. </w:t>
      </w:r>
    </w:p>
    <w:p w14:paraId="4DF3A7CF" w14:textId="2490877F" w:rsidR="00843FDB" w:rsidRPr="00F56B0D" w:rsidRDefault="00843FDB" w:rsidP="00F56B0D">
      <w:pPr>
        <w:pStyle w:val="Heading1"/>
        <w:rPr>
          <w:rFonts w:ascii="Calibri Light" w:hAnsi="Calibri Light"/>
          <w:b w:val="0"/>
          <w:sz w:val="26"/>
          <w:szCs w:val="26"/>
        </w:rPr>
      </w:pPr>
      <w:r w:rsidRPr="00F56B0D">
        <w:rPr>
          <w:rFonts w:ascii="Calibri Light" w:hAnsi="Calibri Light"/>
          <w:b w:val="0"/>
          <w:sz w:val="26"/>
          <w:szCs w:val="26"/>
        </w:rPr>
        <w:t xml:space="preserve">Application of </w:t>
      </w:r>
      <w:r w:rsidR="00DC5830" w:rsidRPr="00F56B0D">
        <w:rPr>
          <w:rFonts w:ascii="Calibri Light" w:hAnsi="Calibri Light"/>
          <w:b w:val="0"/>
          <w:sz w:val="26"/>
          <w:szCs w:val="26"/>
        </w:rPr>
        <w:t xml:space="preserve">payment </w:t>
      </w:r>
      <w:r w:rsidRPr="00F56B0D">
        <w:rPr>
          <w:rFonts w:ascii="Calibri Light" w:hAnsi="Calibri Light"/>
          <w:b w:val="0"/>
          <w:sz w:val="26"/>
          <w:szCs w:val="26"/>
        </w:rPr>
        <w:t xml:space="preserve">ratios to adjust NIS </w:t>
      </w:r>
    </w:p>
    <w:p w14:paraId="45B19070" w14:textId="6D48EF03" w:rsidR="0005556B" w:rsidRPr="00F56B0D" w:rsidRDefault="00843FDB" w:rsidP="000A0182">
      <w:pPr>
        <w:spacing w:after="0" w:line="240" w:lineRule="auto"/>
        <w:rPr>
          <w:rFonts w:eastAsia="Times New Roman" w:cs="Times New Roman"/>
          <w:color w:val="000000"/>
        </w:rPr>
      </w:pPr>
      <w:r w:rsidRPr="00F56B0D">
        <w:rPr>
          <w:rFonts w:eastAsia="Times New Roman" w:cs="Times New Roman"/>
          <w:color w:val="000000"/>
        </w:rPr>
        <w:t>An additional regression was needed to apply our estimate</w:t>
      </w:r>
      <w:r w:rsidR="00856041" w:rsidRPr="00F56B0D">
        <w:rPr>
          <w:rFonts w:eastAsia="Times New Roman" w:cs="Times New Roman"/>
          <w:color w:val="000000"/>
        </w:rPr>
        <w:t>d</w:t>
      </w:r>
      <w:r w:rsidRPr="00F56B0D">
        <w:rPr>
          <w:rFonts w:eastAsia="Times New Roman" w:cs="Times New Roman"/>
          <w:color w:val="000000"/>
        </w:rPr>
        <w:t xml:space="preserve"> </w:t>
      </w:r>
      <w:r w:rsidR="00C84190" w:rsidRPr="00F56B0D">
        <w:rPr>
          <w:rFonts w:eastAsia="Times New Roman" w:cs="Times New Roman"/>
          <w:color w:val="000000"/>
        </w:rPr>
        <w:t>payment</w:t>
      </w:r>
      <w:r w:rsidR="008B4E8E" w:rsidRPr="00F56B0D">
        <w:rPr>
          <w:rFonts w:eastAsia="Times New Roman" w:cs="Times New Roman"/>
          <w:color w:val="000000"/>
        </w:rPr>
        <w:t xml:space="preserve"> </w:t>
      </w:r>
      <w:r w:rsidRPr="00F56B0D">
        <w:rPr>
          <w:rFonts w:eastAsia="Times New Roman" w:cs="Times New Roman"/>
          <w:color w:val="000000"/>
        </w:rPr>
        <w:t xml:space="preserve">ratios to NIS. </w:t>
      </w:r>
      <w:r w:rsidR="0005556B" w:rsidRPr="00F56B0D">
        <w:rPr>
          <w:rFonts w:eastAsia="Times New Roman" w:cs="Times New Roman"/>
          <w:color w:val="000000"/>
        </w:rPr>
        <w:t xml:space="preserve">Hospital charges are often split into two components: facility charges and professional charges. </w:t>
      </w:r>
      <w:r w:rsidR="00A82067" w:rsidRPr="00F56B0D">
        <w:rPr>
          <w:rFonts w:eastAsia="Times New Roman" w:cs="Times New Roman"/>
          <w:color w:val="000000"/>
        </w:rPr>
        <w:t>MEPS</w:t>
      </w:r>
      <w:r w:rsidR="0005556B" w:rsidRPr="00F56B0D">
        <w:rPr>
          <w:rFonts w:eastAsia="Times New Roman" w:cs="Times New Roman"/>
          <w:color w:val="000000"/>
        </w:rPr>
        <w:t xml:space="preserve"> reports both types of charges, whereas NIS reports facility charges only.</w:t>
      </w:r>
      <w:r w:rsidRPr="00F56B0D">
        <w:rPr>
          <w:rFonts w:eastAsia="Times New Roman" w:cs="Times New Roman"/>
          <w:color w:val="000000"/>
        </w:rPr>
        <w:t xml:space="preserve"> This paper addresses the cost of receiving inpatient care from the perspective of the patient, so total charges and total payments are the metrics of interest</w:t>
      </w:r>
      <w:r w:rsidR="00526C61" w:rsidRPr="00F56B0D">
        <w:rPr>
          <w:rFonts w:eastAsia="Times New Roman" w:cs="Times New Roman"/>
          <w:color w:val="000000"/>
        </w:rPr>
        <w:t>. These totals are equivalent to</w:t>
      </w:r>
      <w:r w:rsidR="0005556B" w:rsidRPr="00F56B0D">
        <w:rPr>
          <w:rFonts w:eastAsia="Times New Roman" w:cs="Times New Roman"/>
          <w:color w:val="000000"/>
        </w:rPr>
        <w:t xml:space="preserve"> the sum of facility charges and professional charges, </w:t>
      </w:r>
      <w:r w:rsidR="00526C61" w:rsidRPr="00F56B0D">
        <w:rPr>
          <w:rFonts w:eastAsia="Times New Roman" w:cs="Times New Roman"/>
          <w:color w:val="000000"/>
        </w:rPr>
        <w:t xml:space="preserve">or </w:t>
      </w:r>
      <w:r w:rsidR="0005556B" w:rsidRPr="00F56B0D">
        <w:rPr>
          <w:rFonts w:eastAsia="Times New Roman" w:cs="Times New Roman"/>
          <w:color w:val="000000"/>
        </w:rPr>
        <w:t>the sum of facility payments and professional payments</w:t>
      </w:r>
      <w:r w:rsidR="00C84190" w:rsidRPr="00F56B0D">
        <w:rPr>
          <w:rFonts w:eastAsia="Times New Roman" w:cs="Times New Roman"/>
          <w:color w:val="000000"/>
        </w:rPr>
        <w:t>, respectively</w:t>
      </w:r>
      <w:r w:rsidR="00856041" w:rsidRPr="00F56B0D">
        <w:rPr>
          <w:rFonts w:eastAsia="Times New Roman" w:cs="Times New Roman"/>
          <w:color w:val="000000"/>
        </w:rPr>
        <w:t>. T</w:t>
      </w:r>
      <w:r w:rsidRPr="00F56B0D">
        <w:rPr>
          <w:rFonts w:eastAsia="Times New Roman" w:cs="Times New Roman"/>
          <w:color w:val="000000"/>
        </w:rPr>
        <w:t xml:space="preserve">he </w:t>
      </w:r>
      <w:r w:rsidR="00DC5830" w:rsidRPr="00F56B0D">
        <w:rPr>
          <w:rFonts w:eastAsia="Times New Roman" w:cs="Times New Roman"/>
          <w:color w:val="000000"/>
        </w:rPr>
        <w:t>payment to charge</w:t>
      </w:r>
      <w:r w:rsidR="00526C61" w:rsidRPr="00F56B0D">
        <w:rPr>
          <w:rFonts w:eastAsia="Times New Roman" w:cs="Times New Roman"/>
          <w:color w:val="000000"/>
        </w:rPr>
        <w:t xml:space="preserve"> regression detailed above </w:t>
      </w:r>
      <w:r w:rsidRPr="00F56B0D">
        <w:rPr>
          <w:rFonts w:eastAsia="Times New Roman" w:cs="Times New Roman"/>
          <w:color w:val="000000"/>
        </w:rPr>
        <w:t xml:space="preserve">estimates the ratio of </w:t>
      </w:r>
      <w:r w:rsidR="00080A60" w:rsidRPr="00F56B0D">
        <w:rPr>
          <w:rFonts w:eastAsia="Times New Roman" w:cs="Times New Roman"/>
          <w:i/>
          <w:color w:val="000000"/>
        </w:rPr>
        <w:t>total</w:t>
      </w:r>
      <w:r w:rsidR="00080A60" w:rsidRPr="00F56B0D">
        <w:rPr>
          <w:rFonts w:eastAsia="Times New Roman" w:cs="Times New Roman"/>
          <w:color w:val="000000"/>
        </w:rPr>
        <w:t xml:space="preserve"> payments</w:t>
      </w:r>
      <w:r w:rsidR="00080A60" w:rsidRPr="00F56B0D">
        <w:rPr>
          <w:rFonts w:eastAsia="Times New Roman" w:cs="Times New Roman"/>
          <w:i/>
          <w:color w:val="000000"/>
        </w:rPr>
        <w:t xml:space="preserve"> </w:t>
      </w:r>
      <w:r w:rsidR="00080A60" w:rsidRPr="00F56B0D">
        <w:rPr>
          <w:rFonts w:eastAsia="Times New Roman" w:cs="Times New Roman"/>
          <w:color w:val="000000"/>
        </w:rPr>
        <w:t xml:space="preserve">over </w:t>
      </w:r>
      <w:r w:rsidRPr="00F56B0D">
        <w:rPr>
          <w:rFonts w:eastAsia="Times New Roman" w:cs="Times New Roman"/>
          <w:i/>
          <w:color w:val="000000"/>
        </w:rPr>
        <w:t>total</w:t>
      </w:r>
      <w:r w:rsidRPr="00F56B0D">
        <w:rPr>
          <w:rFonts w:eastAsia="Times New Roman" w:cs="Times New Roman"/>
          <w:color w:val="000000"/>
        </w:rPr>
        <w:t xml:space="preserve"> charges</w:t>
      </w:r>
      <w:r w:rsidR="00E87B09" w:rsidRPr="00F56B0D">
        <w:rPr>
          <w:rFonts w:eastAsia="Times New Roman" w:cs="Times New Roman"/>
          <w:color w:val="000000"/>
        </w:rPr>
        <w:t>.</w:t>
      </w:r>
      <w:r w:rsidR="00114FF9" w:rsidRPr="00F56B0D">
        <w:rPr>
          <w:rFonts w:eastAsia="Times New Roman" w:cs="Times New Roman"/>
          <w:color w:val="000000"/>
        </w:rPr>
        <w:t xml:space="preserve"> </w:t>
      </w:r>
      <w:r w:rsidR="00E80FA0" w:rsidRPr="00F56B0D">
        <w:rPr>
          <w:rFonts w:eastAsia="Times New Roman" w:cs="Times New Roman"/>
          <w:color w:val="000000"/>
        </w:rPr>
        <w:t>Therefore</w:t>
      </w:r>
      <w:r w:rsidRPr="00F56B0D">
        <w:rPr>
          <w:rFonts w:eastAsia="Times New Roman" w:cs="Times New Roman"/>
          <w:color w:val="000000"/>
        </w:rPr>
        <w:t xml:space="preserve">, a facility charge to total charge conversion was needed </w:t>
      </w:r>
      <w:r w:rsidR="00CB5A63" w:rsidRPr="00F56B0D">
        <w:rPr>
          <w:rFonts w:eastAsia="Times New Roman" w:cs="Times New Roman"/>
          <w:color w:val="000000"/>
        </w:rPr>
        <w:t>in order to estimate</w:t>
      </w:r>
      <w:r w:rsidRPr="00F56B0D">
        <w:rPr>
          <w:rFonts w:eastAsia="Times New Roman" w:cs="Times New Roman"/>
          <w:color w:val="000000"/>
        </w:rPr>
        <w:t xml:space="preserve"> the total payments </w:t>
      </w:r>
      <w:r w:rsidR="00526C61" w:rsidRPr="00F56B0D">
        <w:rPr>
          <w:rFonts w:eastAsia="Times New Roman" w:cs="Times New Roman"/>
          <w:color w:val="000000"/>
        </w:rPr>
        <w:t>in NIS</w:t>
      </w:r>
      <w:r w:rsidRPr="00F56B0D">
        <w:rPr>
          <w:rFonts w:eastAsia="Times New Roman" w:cs="Times New Roman"/>
          <w:color w:val="000000"/>
        </w:rPr>
        <w:t>.</w:t>
      </w:r>
      <w:r w:rsidR="0005556B" w:rsidRPr="00F56B0D">
        <w:rPr>
          <w:rFonts w:eastAsia="Times New Roman" w:cs="Times New Roman"/>
          <w:color w:val="000000"/>
        </w:rPr>
        <w:t xml:space="preserve"> Th</w:t>
      </w:r>
      <w:r w:rsidR="00E87B09" w:rsidRPr="00F56B0D">
        <w:rPr>
          <w:rFonts w:eastAsia="Times New Roman" w:cs="Times New Roman"/>
          <w:color w:val="000000"/>
        </w:rPr>
        <w:t>is</w:t>
      </w:r>
      <w:r w:rsidR="0005556B" w:rsidRPr="00F56B0D">
        <w:rPr>
          <w:rFonts w:eastAsia="Times New Roman" w:cs="Times New Roman"/>
          <w:color w:val="000000"/>
        </w:rPr>
        <w:t xml:space="preserve"> second conversion follows a similar form as the first and can be found in equation (2). </w:t>
      </w:r>
      <w:r w:rsidR="00E87B09" w:rsidRPr="00F56B0D">
        <w:rPr>
          <w:rFonts w:eastAsia="Times New Roman" w:cs="Times New Roman"/>
          <w:color w:val="000000"/>
        </w:rPr>
        <w:t xml:space="preserve">The </w:t>
      </w:r>
      <w:r w:rsidR="00C84190" w:rsidRPr="00F56B0D">
        <w:rPr>
          <w:rFonts w:eastAsia="Times New Roman" w:cs="Times New Roman"/>
          <w:color w:val="000000"/>
        </w:rPr>
        <w:t xml:space="preserve">accuracy of the </w:t>
      </w:r>
      <w:r w:rsidR="0005556B" w:rsidRPr="00F56B0D">
        <w:rPr>
          <w:rFonts w:eastAsia="Times New Roman" w:cs="Times New Roman"/>
          <w:color w:val="000000"/>
        </w:rPr>
        <w:t xml:space="preserve">second model is limited by </w:t>
      </w:r>
      <w:r w:rsidR="00F54D49" w:rsidRPr="00F56B0D">
        <w:rPr>
          <w:rFonts w:eastAsia="Times New Roman" w:cs="Times New Roman"/>
          <w:color w:val="000000"/>
        </w:rPr>
        <w:t xml:space="preserve">differences in </w:t>
      </w:r>
      <w:r w:rsidR="0005556B" w:rsidRPr="00F56B0D">
        <w:rPr>
          <w:rFonts w:eastAsia="Times New Roman" w:cs="Times New Roman"/>
          <w:color w:val="000000"/>
        </w:rPr>
        <w:t xml:space="preserve">how the two data sources define facility charges. </w:t>
      </w:r>
      <w:r w:rsidR="00A82067" w:rsidRPr="00F56B0D">
        <w:rPr>
          <w:rFonts w:eastAsia="Times New Roman" w:cs="Times New Roman"/>
          <w:color w:val="000000"/>
        </w:rPr>
        <w:t>MEPS</w:t>
      </w:r>
      <w:r w:rsidR="0005556B" w:rsidRPr="00F56B0D">
        <w:rPr>
          <w:rFonts w:eastAsia="Times New Roman" w:cs="Times New Roman"/>
          <w:color w:val="000000"/>
        </w:rPr>
        <w:t xml:space="preserve"> defines facility charges as the </w:t>
      </w:r>
      <w:r w:rsidR="0005556B" w:rsidRPr="00F56B0D">
        <w:rPr>
          <w:rFonts w:eastAsia="Times New Roman" w:cs="Times New Roman"/>
          <w:color w:val="000000"/>
        </w:rPr>
        <w:lastRenderedPageBreak/>
        <w:t>amount a hospital charges a patient. This number often includes fees for a physician’s work. However, some physicians charge separately, and these separate charges are labeled as professional charges</w:t>
      </w:r>
      <w:r w:rsidR="00DB3FA2">
        <w:rPr>
          <w:rFonts w:eastAsia="Times New Roman" w:cs="Times New Roman"/>
          <w:color w:val="000000"/>
        </w:rPr>
        <w:t xml:space="preserve"> </w:t>
      </w:r>
      <w:r w:rsidR="007A622E">
        <w:rPr>
          <w:rFonts w:eastAsia="Times New Roman" w:cs="Times New Roman"/>
          <w:color w:val="000000"/>
        </w:rPr>
        <w:fldChar w:fldCharType="begin"/>
      </w:r>
      <w:r w:rsidR="00B00556">
        <w:rPr>
          <w:rFonts w:eastAsia="Times New Roman" w:cs="Times New Roman"/>
          <w:color w:val="000000"/>
        </w:rPr>
        <w:instrText xml:space="preserve"> ADDIN ZOTERO_ITEM CSL_CITATION {"citationID":"ZcidtFZn","properties":{"formattedCitation":"[9]","plainCitation":"[9]"},"citationItems":[{"id":46171,"uris":["http://zotero.org/groups/21876/items/5Q7W2UMR"],"uri":["http://zotero.org/groups/21876/items/5Q7W2UMR"],"itemData":{"id":46171,"type":"article","title":"MEPS HC135D: 2010 Hospital Inpatient Stays","publisher":"Agency for Healthcare Research and Quality","issued":{"date-parts":[["2012",7]]}}}],"schema":"https://github.com/citation-style-language/schema/raw/master/csl-citation.json"} </w:instrText>
      </w:r>
      <w:r w:rsidR="007A622E">
        <w:rPr>
          <w:rFonts w:eastAsia="Times New Roman" w:cs="Times New Roman"/>
          <w:color w:val="000000"/>
        </w:rPr>
        <w:fldChar w:fldCharType="separate"/>
      </w:r>
      <w:r w:rsidR="00B00556" w:rsidRPr="00B00556">
        <w:rPr>
          <w:rFonts w:ascii="Calibri" w:hAnsi="Calibri"/>
        </w:rPr>
        <w:t>[9]</w:t>
      </w:r>
      <w:r w:rsidR="007A622E">
        <w:rPr>
          <w:rFonts w:eastAsia="Times New Roman" w:cs="Times New Roman"/>
          <w:color w:val="000000"/>
        </w:rPr>
        <w:fldChar w:fldCharType="end"/>
      </w:r>
      <w:r w:rsidR="0005556B" w:rsidRPr="00F56B0D">
        <w:rPr>
          <w:rFonts w:eastAsia="Times New Roman" w:cs="Times New Roman"/>
          <w:color w:val="000000"/>
        </w:rPr>
        <w:t>. NIS, however, separates all hospital charges from physician charges when possible</w:t>
      </w:r>
      <w:r w:rsidR="007A622E">
        <w:rPr>
          <w:rFonts w:eastAsia="Times New Roman" w:cs="Times New Roman"/>
          <w:color w:val="000000"/>
        </w:rPr>
        <w:t xml:space="preserve"> </w:t>
      </w:r>
      <w:r w:rsidR="007A622E">
        <w:rPr>
          <w:rFonts w:eastAsia="Times New Roman" w:cs="Times New Roman"/>
          <w:color w:val="000000"/>
        </w:rPr>
        <w:fldChar w:fldCharType="begin"/>
      </w:r>
      <w:r w:rsidR="00B00556">
        <w:rPr>
          <w:rFonts w:eastAsia="Times New Roman" w:cs="Times New Roman"/>
          <w:color w:val="000000"/>
        </w:rPr>
        <w:instrText xml:space="preserve"> ADDIN ZOTERO_ITEM CSL_CITATION {"citationID":"kFBDMJkE","properties":{"formattedCitation":"[10]","plainCitation":"[10]"},"citationItems":[{"id":46172,"uris":["http://zotero.org/groups/21876/items/A6G3UFUW"],"uri":["http://zotero.org/groups/21876/items/A6G3UFUW"],"itemData":{"id":46172,"type":"article","title":"HCUP NIS Desption of Data Elements","publisher":"Healthcare Cost and Utilization Project","URL":"www.hcup-us.ahrq.gov/db/vars/totchg/nisnote.jsp","issued":{"literal":"September 08"}}}],"schema":"https://github.com/citation-style-language/schema/raw/master/csl-citation.json"} </w:instrText>
      </w:r>
      <w:r w:rsidR="007A622E">
        <w:rPr>
          <w:rFonts w:eastAsia="Times New Roman" w:cs="Times New Roman"/>
          <w:color w:val="000000"/>
        </w:rPr>
        <w:fldChar w:fldCharType="separate"/>
      </w:r>
      <w:r w:rsidR="00B00556" w:rsidRPr="00B00556">
        <w:rPr>
          <w:rFonts w:ascii="Calibri" w:hAnsi="Calibri"/>
        </w:rPr>
        <w:t>[10]</w:t>
      </w:r>
      <w:r w:rsidR="007A622E">
        <w:rPr>
          <w:rFonts w:eastAsia="Times New Roman" w:cs="Times New Roman"/>
          <w:color w:val="000000"/>
        </w:rPr>
        <w:fldChar w:fldCharType="end"/>
      </w:r>
      <w:r w:rsidR="0005556B" w:rsidRPr="00F56B0D">
        <w:rPr>
          <w:rFonts w:eastAsia="Times New Roman" w:cs="Times New Roman"/>
          <w:color w:val="000000"/>
        </w:rPr>
        <w:t xml:space="preserve">. Consequently, </w:t>
      </w:r>
      <w:r w:rsidR="002B14C1" w:rsidRPr="00F56B0D">
        <w:rPr>
          <w:rFonts w:eastAsia="Times New Roman" w:cs="Times New Roman"/>
          <w:color w:val="000000"/>
        </w:rPr>
        <w:t xml:space="preserve">we </w:t>
      </w:r>
      <w:r w:rsidR="008A630B" w:rsidRPr="00F56B0D">
        <w:rPr>
          <w:rFonts w:eastAsia="Times New Roman" w:cs="Times New Roman"/>
          <w:color w:val="000000"/>
        </w:rPr>
        <w:t xml:space="preserve">may </w:t>
      </w:r>
      <w:r w:rsidR="00C322BC" w:rsidRPr="00F56B0D">
        <w:rPr>
          <w:rFonts w:eastAsia="Times New Roman" w:cs="Times New Roman"/>
          <w:color w:val="000000"/>
        </w:rPr>
        <w:t>overestimate</w:t>
      </w:r>
      <w:r w:rsidR="0005556B" w:rsidRPr="00F56B0D">
        <w:rPr>
          <w:rFonts w:eastAsia="Times New Roman" w:cs="Times New Roman"/>
          <w:color w:val="000000"/>
        </w:rPr>
        <w:t xml:space="preserve"> the ratio of facility charge to total charge. </w:t>
      </w:r>
    </w:p>
    <w:p w14:paraId="492998D7" w14:textId="77777777" w:rsidR="008A630B" w:rsidRPr="00F56B0D" w:rsidRDefault="008A630B" w:rsidP="000A0182">
      <w:pPr>
        <w:spacing w:after="0" w:line="240" w:lineRule="auto"/>
        <w:rPr>
          <w:rFonts w:eastAsia="Times New Roman" w:cs="Times New Roman"/>
          <w:color w:val="000000"/>
        </w:rPr>
      </w:pPr>
    </w:p>
    <w:p w14:paraId="5B1A3D71" w14:textId="77777777" w:rsidR="008A630B" w:rsidRDefault="008A630B" w:rsidP="000A0182">
      <w:pPr>
        <w:spacing w:after="0" w:line="240" w:lineRule="auto"/>
        <w:rPr>
          <w:rFonts w:eastAsia="Times New Roman" w:cs="Times New Roman"/>
          <w:color w:val="000000"/>
        </w:rPr>
      </w:pPr>
      <w:r w:rsidRPr="00F56B0D">
        <w:rPr>
          <w:rFonts w:eastAsia="Times New Roman" w:cs="Times New Roman"/>
          <w:color w:val="000000"/>
        </w:rPr>
        <w:t>Equation (2):</w:t>
      </w:r>
    </w:p>
    <w:p w14:paraId="71FCE88B" w14:textId="77777777" w:rsidR="00781837" w:rsidRPr="00F56B0D" w:rsidRDefault="00781837" w:rsidP="000A0182">
      <w:pPr>
        <w:spacing w:after="0" w:line="240" w:lineRule="auto"/>
        <w:rPr>
          <w:rFonts w:eastAsia="Times New Roman" w:cs="Times New Roman"/>
          <w:color w:val="000000"/>
        </w:rPr>
      </w:pPr>
    </w:p>
    <w:p w14:paraId="361DC3E0" w14:textId="38D13FE1" w:rsidR="00843FDB" w:rsidRPr="00F56B0D" w:rsidRDefault="008A630B" w:rsidP="000A0182">
      <w:pPr>
        <w:spacing w:after="0" w:line="240" w:lineRule="auto"/>
        <w:rPr>
          <w:rFonts w:eastAsia="Times New Roman" w:cs="Times New Roman"/>
        </w:rPr>
      </w:pPr>
      <w:r w:rsidRPr="00F56B0D">
        <w:rPr>
          <w:rFonts w:eastAsia="Times New Roman" w:cs="Times New Roman"/>
          <w:color w:val="000000"/>
        </w:rPr>
        <w:tab/>
      </w:r>
      <w:r w:rsidR="00843FDB" w:rsidRPr="00F56B0D">
        <w:rPr>
          <w:rFonts w:eastAsia="Times New Roman" w:cs="Times New Roman"/>
          <w:color w:val="000000"/>
        </w:rPr>
        <w:t xml:space="preserve"> </w:t>
      </w:r>
      <m:oMath>
        <m:sSub>
          <m:sSubPr>
            <m:ctrlPr>
              <w:rPr>
                <w:rFonts w:ascii="Cambria Math" w:eastAsia="Times New Roman" w:hAnsi="Cambria Math" w:cs="Times New Roman"/>
                <w:i/>
                <w:color w:val="000000"/>
              </w:rPr>
            </m:ctrlPr>
          </m:sSubPr>
          <m:e>
            <m:d>
              <m:dPr>
                <m:ctrlPr>
                  <w:rPr>
                    <w:rFonts w:ascii="Cambria Math" w:eastAsia="Times New Roman" w:hAnsi="Cambria Math" w:cs="Times New Roman"/>
                    <w:i/>
                    <w:color w:val="000000"/>
                  </w:rPr>
                </m:ctrlPr>
              </m:dPr>
              <m:e>
                <m:f>
                  <m:fPr>
                    <m:ctrlPr>
                      <w:rPr>
                        <w:rFonts w:ascii="Cambria Math" w:eastAsia="Times New Roman" w:hAnsi="Cambria Math" w:cs="Times New Roman"/>
                        <w:i/>
                        <w:color w:val="000000"/>
                      </w:rPr>
                    </m:ctrlPr>
                  </m:fPr>
                  <m:num>
                    <m:r>
                      <w:rPr>
                        <w:rFonts w:ascii="Cambria Math" w:eastAsia="Times New Roman" w:hAnsi="Cambria Math" w:cs="Times New Roman"/>
                        <w:color w:val="000000"/>
                      </w:rPr>
                      <m:t>total charges</m:t>
                    </m:r>
                  </m:num>
                  <m:den>
                    <m:r>
                      <w:rPr>
                        <w:rFonts w:ascii="Cambria Math" w:eastAsia="Times New Roman" w:hAnsi="Cambria Math" w:cs="Times New Roman"/>
                        <w:color w:val="000000"/>
                      </w:rPr>
                      <m:t>facility charnges</m:t>
                    </m:r>
                  </m:den>
                </m:f>
              </m:e>
            </m:d>
          </m:e>
          <m:sub>
            <m:r>
              <w:rPr>
                <w:rFonts w:ascii="Cambria Math" w:eastAsia="Times New Roman" w:hAnsi="Cambria Math" w:cs="Times New Roman"/>
                <w:color w:val="000000"/>
              </w:rPr>
              <m:t>i</m:t>
            </m:r>
          </m:sub>
        </m:sSub>
        <m:r>
          <w:rPr>
            <w:rFonts w:ascii="Cambria Math" w:eastAsia="Times New Roman" w:hAnsi="Cambria Math" w:cs="Times New Roman"/>
            <w:color w:val="000000"/>
          </w:rPr>
          <m:t xml:space="preserve">= </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β</m:t>
            </m:r>
          </m:e>
          <m:sub>
            <m:r>
              <w:rPr>
                <w:rFonts w:ascii="Cambria Math" w:eastAsia="Times New Roman" w:hAnsi="Cambria Math" w:cs="Times New Roman"/>
                <w:color w:val="000000"/>
              </w:rPr>
              <m:t>0</m:t>
            </m:r>
          </m:sub>
        </m:sSub>
        <m:r>
          <w:rPr>
            <w:rFonts w:ascii="Cambria Math" w:eastAsia="Times New Roman" w:hAnsi="Cambria Math" w:cs="Times New Roman"/>
            <w:color w:val="000000"/>
          </w:rPr>
          <m:t xml:space="preserve">+ </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β</m:t>
            </m:r>
          </m:e>
          <m:sub>
            <m:r>
              <w:rPr>
                <w:rFonts w:ascii="Cambria Math" w:eastAsia="Times New Roman" w:hAnsi="Cambria Math" w:cs="Times New Roman"/>
                <w:color w:val="000000"/>
              </w:rPr>
              <m:t>1</m:t>
            </m:r>
          </m:sub>
        </m:sSub>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year</m:t>
            </m:r>
          </m:e>
          <m:sub>
            <m:r>
              <w:rPr>
                <w:rFonts w:ascii="Cambria Math" w:eastAsia="Times New Roman" w:hAnsi="Cambria Math" w:cs="Times New Roman"/>
                <w:color w:val="000000"/>
              </w:rPr>
              <m:t>i</m:t>
            </m:r>
          </m:sub>
        </m:sSub>
        <m:r>
          <w:rPr>
            <w:rFonts w:ascii="Cambria Math" w:eastAsia="Times New Roman" w:hAnsi="Cambria Math" w:cs="Times New Roman"/>
            <w:color w:val="000000"/>
          </w:rPr>
          <m:t>+</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ε</m:t>
            </m:r>
          </m:e>
          <m:sub>
            <m:r>
              <w:rPr>
                <w:rFonts w:ascii="Cambria Math" w:eastAsia="Times New Roman" w:hAnsi="Cambria Math" w:cs="Times New Roman"/>
                <w:color w:val="000000"/>
              </w:rPr>
              <m:t>i</m:t>
            </m:r>
          </m:sub>
        </m:sSub>
        <m:r>
          <w:rPr>
            <w:rFonts w:ascii="Cambria Math" w:eastAsia="Times New Roman" w:hAnsi="Cambria Math" w:cs="Times New Roman"/>
            <w:color w:val="000000"/>
          </w:rPr>
          <m:t xml:space="preserve"> </m:t>
        </m:r>
      </m:oMath>
      <w:r w:rsidR="0005556B" w:rsidRPr="00F56B0D" w:rsidDel="0005556B">
        <w:rPr>
          <w:rFonts w:eastAsia="Times New Roman" w:cs="Times New Roman"/>
          <w:color w:val="000000"/>
        </w:rPr>
        <w:t xml:space="preserve"> </w:t>
      </w:r>
    </w:p>
    <w:p w14:paraId="2EF0382D" w14:textId="77777777" w:rsidR="00843FDB" w:rsidRPr="00F56B0D" w:rsidRDefault="00843FDB" w:rsidP="000A0182">
      <w:pPr>
        <w:spacing w:after="0" w:line="240" w:lineRule="auto"/>
        <w:rPr>
          <w:rFonts w:eastAsia="Times New Roman" w:cs="Times New Roman"/>
        </w:rPr>
      </w:pPr>
    </w:p>
    <w:p w14:paraId="50A7DAFB" w14:textId="5DD1EBDF" w:rsidR="00843FDB" w:rsidRPr="00F56B0D" w:rsidRDefault="00843FDB" w:rsidP="000A0182">
      <w:pPr>
        <w:spacing w:after="0" w:line="240" w:lineRule="auto"/>
        <w:rPr>
          <w:rFonts w:eastAsia="Times New Roman" w:cs="Times New Roman"/>
        </w:rPr>
      </w:pPr>
      <w:r w:rsidRPr="00F56B0D">
        <w:rPr>
          <w:rFonts w:eastAsia="Times New Roman" w:cs="Times New Roman"/>
          <w:color w:val="000000"/>
        </w:rPr>
        <w:t>The ratio of facility charges to total charges was the dependent variable</w:t>
      </w:r>
      <w:r w:rsidR="006D2B5E" w:rsidRPr="00F56B0D">
        <w:rPr>
          <w:rFonts w:eastAsia="Times New Roman" w:cs="Times New Roman"/>
          <w:color w:val="000000"/>
        </w:rPr>
        <w:t xml:space="preserve"> in this second regression</w:t>
      </w:r>
      <w:r w:rsidRPr="00F56B0D">
        <w:rPr>
          <w:rFonts w:eastAsia="Times New Roman" w:cs="Times New Roman"/>
          <w:color w:val="000000"/>
        </w:rPr>
        <w:t xml:space="preserve">. This ratio was considered a function of cause and time. By inspection, this ratio was unrelated to age, sex, and payer. Further, charges are widely known to be independent of payer, as all charges come </w:t>
      </w:r>
      <w:r w:rsidR="00C2235C" w:rsidRPr="00F56B0D">
        <w:rPr>
          <w:rFonts w:eastAsia="Times New Roman" w:cs="Times New Roman"/>
          <w:color w:val="000000"/>
        </w:rPr>
        <w:t>from a hospital’s charge master</w:t>
      </w:r>
      <w:r w:rsidR="00BD7CB1">
        <w:rPr>
          <w:rFonts w:eastAsia="Times New Roman" w:cs="Times New Roman"/>
          <w:color w:val="000000"/>
        </w:rPr>
        <w:t xml:space="preserve"> </w:t>
      </w:r>
      <w:r w:rsidR="00BD7CB1">
        <w:rPr>
          <w:rFonts w:eastAsia="Times New Roman" w:cs="Times New Roman"/>
          <w:color w:val="000000"/>
        </w:rPr>
        <w:fldChar w:fldCharType="begin"/>
      </w:r>
      <w:r w:rsidR="00B00556">
        <w:rPr>
          <w:rFonts w:eastAsia="Times New Roman" w:cs="Times New Roman"/>
          <w:color w:val="000000"/>
        </w:rPr>
        <w:instrText xml:space="preserve"> ADDIN ZOTERO_ITEM CSL_CITATION {"citationID":"BE0JfjRr","properties":{"formattedCitation":"[11]","plainCitation":"[11]"},"citationItems":[{"id":45409,"uris":["http://zotero.org/groups/21876/items/4M2X2D8B"],"uri":["http://zotero.org/groups/21876/items/4M2X2D8B"],"itemData":{"id":45409,"type":"article-journal","title":"The Pricing Of U.S. Hospital Services: Chaos Behind A Veil Of Secrecy","container-title":"Health Affairs","page":"57-69","volume":"25","issue":"1","source":"content.healthaffairs.org","abstract":"Although Americans and foreigners alike tend to think of the U.S. health care system as being a “market-driven” system, the prices actually paid for health care goods and services in that system have remained remarkably opaque. This paper describes how U.S. hospitals now price their services to the various third-party payers and self-paying patients, and how that system would have to be changed to accommodate the increasingly popular concept of “consumer-directed health care.”","DOI":"10.1377/hlthaff.25.1.57","ISSN":"0278-2715, 1544-5208","note":"PMID: 16403745","shortTitle":"The Pricing Of U.S. Hospital Services","journalAbbreviation":"Health Aff","language":"en","author":[{"family":"Reinhardt","given":"Uwe E."}],"issued":{"date-parts":[["2006",1,1]]},"accessed":{"date-parts":[["2015",7,14]]},"PMID":"16403745"}}],"schema":"https://github.com/citation-style-language/schema/raw/master/csl-citation.json"} </w:instrText>
      </w:r>
      <w:r w:rsidR="00BD7CB1">
        <w:rPr>
          <w:rFonts w:eastAsia="Times New Roman" w:cs="Times New Roman"/>
          <w:color w:val="000000"/>
        </w:rPr>
        <w:fldChar w:fldCharType="separate"/>
      </w:r>
      <w:r w:rsidR="00B00556" w:rsidRPr="00B00556">
        <w:rPr>
          <w:rFonts w:ascii="Calibri" w:hAnsi="Calibri"/>
        </w:rPr>
        <w:t>[11]</w:t>
      </w:r>
      <w:r w:rsidR="00BD7CB1">
        <w:rPr>
          <w:rFonts w:eastAsia="Times New Roman" w:cs="Times New Roman"/>
          <w:color w:val="000000"/>
        </w:rPr>
        <w:fldChar w:fldCharType="end"/>
      </w:r>
      <w:r w:rsidR="00C2235C" w:rsidRPr="00F56B0D">
        <w:rPr>
          <w:rFonts w:eastAsia="Times New Roman" w:cs="Times New Roman"/>
          <w:color w:val="000000"/>
        </w:rPr>
        <w:t xml:space="preserve">. </w:t>
      </w:r>
      <w:r w:rsidRPr="00F56B0D">
        <w:rPr>
          <w:rFonts w:eastAsia="Times New Roman" w:cs="Times New Roman"/>
          <w:color w:val="000000"/>
        </w:rPr>
        <w:t xml:space="preserve">The regression given by equation (2) was run </w:t>
      </w:r>
      <w:r w:rsidR="005D47DE" w:rsidRPr="00F56B0D">
        <w:rPr>
          <w:rFonts w:eastAsia="Times New Roman" w:cs="Times New Roman"/>
          <w:color w:val="000000"/>
        </w:rPr>
        <w:t xml:space="preserve">for each draw </w:t>
      </w:r>
      <w:r w:rsidRPr="00F56B0D">
        <w:rPr>
          <w:rFonts w:eastAsia="Times New Roman" w:cs="Times New Roman"/>
          <w:color w:val="000000"/>
        </w:rPr>
        <w:t xml:space="preserve">for each </w:t>
      </w:r>
      <w:r w:rsidR="005D47DE" w:rsidRPr="00F56B0D">
        <w:rPr>
          <w:rFonts w:eastAsia="Times New Roman" w:cs="Times New Roman"/>
          <w:color w:val="000000"/>
        </w:rPr>
        <w:t>cause</w:t>
      </w:r>
      <w:r w:rsidR="001F75EA" w:rsidRPr="00F56B0D">
        <w:rPr>
          <w:rFonts w:eastAsia="Times New Roman" w:cs="Times New Roman"/>
          <w:color w:val="000000"/>
        </w:rPr>
        <w:t xml:space="preserve">, with </w:t>
      </w:r>
      <w:r w:rsidR="005F77CD" w:rsidRPr="00F56B0D">
        <w:rPr>
          <w:rFonts w:eastAsia="Times New Roman" w:cs="Times New Roman"/>
          <w:color w:val="000000"/>
        </w:rPr>
        <w:t>patient-</w:t>
      </w:r>
      <w:r w:rsidR="001F75EA" w:rsidRPr="00F56B0D">
        <w:rPr>
          <w:rFonts w:eastAsia="Times New Roman" w:cs="Times New Roman"/>
          <w:color w:val="000000"/>
        </w:rPr>
        <w:t>weighted total charges as the regression weight</w:t>
      </w:r>
      <w:r w:rsidRPr="00F56B0D">
        <w:rPr>
          <w:rFonts w:eastAsia="Times New Roman" w:cs="Times New Roman"/>
          <w:color w:val="000000"/>
        </w:rPr>
        <w:t xml:space="preserve">. </w:t>
      </w:r>
      <w:r w:rsidR="00CD2988" w:rsidRPr="00F56B0D">
        <w:rPr>
          <w:rFonts w:eastAsia="Times New Roman" w:cs="Times New Roman"/>
          <w:color w:val="000000"/>
        </w:rPr>
        <w:t>Finally</w:t>
      </w:r>
      <w:r w:rsidR="005C71CB" w:rsidRPr="00F56B0D">
        <w:rPr>
          <w:rFonts w:eastAsia="Times New Roman" w:cs="Times New Roman"/>
          <w:color w:val="000000"/>
        </w:rPr>
        <w:t>,</w:t>
      </w:r>
      <w:r w:rsidR="00CD2988" w:rsidRPr="00F56B0D">
        <w:rPr>
          <w:rFonts w:eastAsia="Times New Roman" w:cs="Times New Roman"/>
          <w:color w:val="000000"/>
        </w:rPr>
        <w:t xml:space="preserve"> a</w:t>
      </w:r>
      <w:r w:rsidRPr="00F56B0D">
        <w:rPr>
          <w:rFonts w:eastAsia="Times New Roman" w:cs="Times New Roman"/>
          <w:color w:val="000000"/>
        </w:rPr>
        <w:t xml:space="preserve"> facility</w:t>
      </w:r>
      <w:r w:rsidR="00CD2988" w:rsidRPr="00F56B0D">
        <w:rPr>
          <w:rFonts w:eastAsia="Times New Roman" w:cs="Times New Roman"/>
          <w:color w:val="000000"/>
        </w:rPr>
        <w:t>-</w:t>
      </w:r>
      <w:r w:rsidRPr="00F56B0D">
        <w:rPr>
          <w:rFonts w:eastAsia="Times New Roman" w:cs="Times New Roman"/>
          <w:color w:val="000000"/>
        </w:rPr>
        <w:t>charge to total</w:t>
      </w:r>
      <w:r w:rsidR="00CD2988" w:rsidRPr="00F56B0D">
        <w:rPr>
          <w:rFonts w:eastAsia="Times New Roman" w:cs="Times New Roman"/>
          <w:color w:val="000000"/>
        </w:rPr>
        <w:t>-</w:t>
      </w:r>
      <w:r w:rsidR="008A630B" w:rsidRPr="00F56B0D">
        <w:rPr>
          <w:rFonts w:eastAsia="Times New Roman" w:cs="Times New Roman"/>
          <w:color w:val="000000"/>
        </w:rPr>
        <w:t xml:space="preserve">payment </w:t>
      </w:r>
      <w:r w:rsidRPr="00F56B0D">
        <w:rPr>
          <w:rFonts w:eastAsia="Times New Roman" w:cs="Times New Roman"/>
          <w:color w:val="000000"/>
        </w:rPr>
        <w:t>conversion factor was calculated</w:t>
      </w:r>
      <w:r w:rsidR="005C71CB" w:rsidRPr="00F56B0D">
        <w:rPr>
          <w:rFonts w:eastAsia="Times New Roman" w:cs="Times New Roman"/>
          <w:color w:val="000000"/>
        </w:rPr>
        <w:t xml:space="preserve"> for each cause</w:t>
      </w:r>
      <w:r w:rsidR="005D47DE" w:rsidRPr="00F56B0D">
        <w:rPr>
          <w:rFonts w:eastAsia="Times New Roman" w:cs="Times New Roman"/>
          <w:color w:val="000000"/>
        </w:rPr>
        <w:t xml:space="preserve"> </w:t>
      </w:r>
      <w:r w:rsidR="005C71CB" w:rsidRPr="00F56B0D">
        <w:rPr>
          <w:rFonts w:eastAsia="Times New Roman" w:cs="Times New Roman"/>
          <w:color w:val="000000"/>
        </w:rPr>
        <w:t>and payer</w:t>
      </w:r>
      <w:r w:rsidRPr="00F56B0D">
        <w:rPr>
          <w:rFonts w:eastAsia="Times New Roman" w:cs="Times New Roman"/>
          <w:color w:val="000000"/>
        </w:rPr>
        <w:t xml:space="preserve"> by combining</w:t>
      </w:r>
      <w:r w:rsidR="00CD2988" w:rsidRPr="00F56B0D">
        <w:rPr>
          <w:rFonts w:eastAsia="Times New Roman" w:cs="Times New Roman"/>
          <w:color w:val="000000"/>
        </w:rPr>
        <w:t xml:space="preserve"> the resulting ratios from</w:t>
      </w:r>
      <w:r w:rsidRPr="00F56B0D">
        <w:rPr>
          <w:rFonts w:eastAsia="Times New Roman" w:cs="Times New Roman"/>
          <w:color w:val="000000"/>
        </w:rPr>
        <w:t xml:space="preserve"> equations (1) and (2)</w:t>
      </w:r>
      <w:r w:rsidR="008A630B" w:rsidRPr="00F56B0D">
        <w:rPr>
          <w:rFonts w:eastAsia="Times New Roman" w:cs="Times New Roman"/>
          <w:color w:val="000000"/>
        </w:rPr>
        <w:t>, as shown in equation (3).</w:t>
      </w:r>
    </w:p>
    <w:p w14:paraId="5288B7B5" w14:textId="77777777" w:rsidR="00843FDB" w:rsidRPr="00F56B0D" w:rsidRDefault="00843FDB" w:rsidP="000A0182">
      <w:pPr>
        <w:spacing w:after="0" w:line="240" w:lineRule="auto"/>
        <w:rPr>
          <w:rFonts w:eastAsia="Times New Roman" w:cs="Times New Roman"/>
        </w:rPr>
      </w:pPr>
    </w:p>
    <w:p w14:paraId="2FB2871D" w14:textId="77777777" w:rsidR="008A630B" w:rsidRPr="00F56B0D" w:rsidRDefault="008A630B" w:rsidP="000A0182">
      <w:pPr>
        <w:spacing w:after="0" w:line="240" w:lineRule="auto"/>
        <w:rPr>
          <w:rFonts w:eastAsia="Times New Roman" w:cs="Times New Roman"/>
          <w:color w:val="000000"/>
        </w:rPr>
      </w:pPr>
      <w:r w:rsidRPr="00F56B0D">
        <w:rPr>
          <w:rFonts w:eastAsia="Times New Roman" w:cs="Times New Roman"/>
          <w:color w:val="000000"/>
        </w:rPr>
        <w:t xml:space="preserve">Equation </w:t>
      </w:r>
      <w:r w:rsidR="00843FDB" w:rsidRPr="00F56B0D">
        <w:rPr>
          <w:rFonts w:eastAsia="Times New Roman" w:cs="Times New Roman"/>
          <w:color w:val="000000"/>
        </w:rPr>
        <w:t>(3)</w:t>
      </w:r>
      <w:r w:rsidRPr="00F56B0D">
        <w:rPr>
          <w:rFonts w:eastAsia="Times New Roman" w:cs="Times New Roman"/>
          <w:color w:val="000000"/>
        </w:rPr>
        <w:t>:</w:t>
      </w:r>
    </w:p>
    <w:p w14:paraId="61FC8380" w14:textId="7B531B1A" w:rsidR="00843FDB" w:rsidRPr="00F56B0D" w:rsidRDefault="002157C4" w:rsidP="000A0182">
      <w:pPr>
        <w:spacing w:after="0" w:line="240" w:lineRule="auto"/>
        <w:ind w:firstLine="720"/>
        <w:rPr>
          <w:rFonts w:eastAsia="Times New Roman" w:cs="Times New Roman"/>
        </w:rPr>
      </w:pPr>
      <w:r w:rsidRPr="00F56B0D">
        <w:rPr>
          <w:rFonts w:eastAsia="Times New Roman" w:cs="Times New Roman"/>
          <w:color w:val="000000"/>
        </w:rPr>
        <w:t xml:space="preserve"> conversion factor = </w:t>
      </w:r>
      <w:r w:rsidR="00843FDB" w:rsidRPr="00F56B0D">
        <w:rPr>
          <w:rFonts w:eastAsia="Times New Roman" w:cs="Times New Roman"/>
          <w:color w:val="000000"/>
        </w:rPr>
        <w:t xml:space="preserve"> </w:t>
      </w:r>
      <m:oMath>
        <m:sSub>
          <m:sSubPr>
            <m:ctrlPr>
              <w:rPr>
                <w:rFonts w:ascii="Cambria Math" w:eastAsia="Times New Roman" w:hAnsi="Cambria Math" w:cs="Times New Roman"/>
                <w:i/>
                <w:color w:val="000000"/>
              </w:rPr>
            </m:ctrlPr>
          </m:sSubPr>
          <m:e>
            <m:d>
              <m:dPr>
                <m:ctrlPr>
                  <w:rPr>
                    <w:rFonts w:ascii="Cambria Math" w:eastAsia="Times New Roman" w:hAnsi="Cambria Math" w:cs="Times New Roman"/>
                    <w:i/>
                    <w:color w:val="000000"/>
                  </w:rPr>
                </m:ctrlPr>
              </m:dPr>
              <m:e>
                <m:f>
                  <m:fPr>
                    <m:ctrlPr>
                      <w:rPr>
                        <w:rFonts w:ascii="Cambria Math" w:eastAsia="Times New Roman" w:hAnsi="Cambria Math" w:cs="Times New Roman"/>
                        <w:i/>
                        <w:color w:val="000000"/>
                      </w:rPr>
                    </m:ctrlPr>
                  </m:fPr>
                  <m:num>
                    <m:r>
                      <w:rPr>
                        <w:rFonts w:ascii="Cambria Math" w:eastAsia="Times New Roman" w:hAnsi="Cambria Math" w:cs="Times New Roman"/>
                        <w:color w:val="000000"/>
                      </w:rPr>
                      <m:t>total charges</m:t>
                    </m:r>
                  </m:num>
                  <m:den>
                    <m:r>
                      <w:rPr>
                        <w:rFonts w:ascii="Cambria Math" w:eastAsia="Times New Roman" w:hAnsi="Cambria Math" w:cs="Times New Roman"/>
                        <w:color w:val="000000"/>
                      </w:rPr>
                      <m:t>facility charges</m:t>
                    </m:r>
                  </m:den>
                </m:f>
              </m:e>
            </m:d>
          </m:e>
          <m:sub>
            <m:r>
              <w:rPr>
                <w:rFonts w:ascii="Cambria Math" w:eastAsia="Times New Roman" w:hAnsi="Cambria Math" w:cs="Times New Roman"/>
                <w:color w:val="000000"/>
              </w:rPr>
              <m:t>i</m:t>
            </m:r>
          </m:sub>
        </m:sSub>
        <m:sSub>
          <m:sSubPr>
            <m:ctrlPr>
              <w:rPr>
                <w:rFonts w:ascii="Cambria Math" w:eastAsia="Times New Roman" w:hAnsi="Cambria Math" w:cs="Times New Roman"/>
                <w:i/>
                <w:color w:val="000000"/>
              </w:rPr>
            </m:ctrlPr>
          </m:sSubPr>
          <m:e>
            <m:d>
              <m:dPr>
                <m:ctrlPr>
                  <w:rPr>
                    <w:rFonts w:ascii="Cambria Math" w:eastAsia="Times New Roman" w:hAnsi="Cambria Math" w:cs="Times New Roman"/>
                    <w:i/>
                    <w:color w:val="000000"/>
                  </w:rPr>
                </m:ctrlPr>
              </m:dPr>
              <m:e>
                <m:f>
                  <m:fPr>
                    <m:ctrlPr>
                      <w:rPr>
                        <w:rFonts w:ascii="Cambria Math" w:eastAsia="Times New Roman" w:hAnsi="Cambria Math" w:cs="Times New Roman"/>
                        <w:i/>
                        <w:color w:val="000000"/>
                      </w:rPr>
                    </m:ctrlPr>
                  </m:fPr>
                  <m:num>
                    <m:r>
                      <w:rPr>
                        <w:rFonts w:ascii="Cambria Math" w:eastAsia="Times New Roman" w:hAnsi="Cambria Math" w:cs="Times New Roman"/>
                        <w:color w:val="000000"/>
                      </w:rPr>
                      <m:t>total payment</m:t>
                    </m:r>
                  </m:num>
                  <m:den>
                    <m:r>
                      <w:rPr>
                        <w:rFonts w:ascii="Cambria Math" w:eastAsia="Times New Roman" w:hAnsi="Cambria Math" w:cs="Times New Roman"/>
                        <w:color w:val="000000"/>
                      </w:rPr>
                      <m:t>total charges</m:t>
                    </m:r>
                  </m:den>
                </m:f>
              </m:e>
            </m:d>
          </m:e>
          <m:sub>
            <m:r>
              <w:rPr>
                <w:rFonts w:ascii="Cambria Math" w:eastAsia="Times New Roman" w:hAnsi="Cambria Math" w:cs="Times New Roman"/>
                <w:color w:val="000000"/>
              </w:rPr>
              <m:t>i</m:t>
            </m:r>
          </m:sub>
        </m:sSub>
      </m:oMath>
    </w:p>
    <w:p w14:paraId="2F4DC328" w14:textId="77777777" w:rsidR="00843FDB" w:rsidRPr="00F56B0D" w:rsidRDefault="00843FDB" w:rsidP="000A0182">
      <w:pPr>
        <w:spacing w:after="0" w:line="240" w:lineRule="auto"/>
        <w:rPr>
          <w:rFonts w:eastAsia="Times New Roman" w:cs="Times New Roman"/>
        </w:rPr>
      </w:pPr>
    </w:p>
    <w:p w14:paraId="5544A075" w14:textId="396A197E" w:rsidR="00843FDB" w:rsidRPr="00F56B0D" w:rsidRDefault="00885190" w:rsidP="000A0182">
      <w:pPr>
        <w:spacing w:after="0" w:line="240" w:lineRule="auto"/>
        <w:rPr>
          <w:rFonts w:eastAsia="Times New Roman" w:cs="Times New Roman"/>
        </w:rPr>
      </w:pPr>
      <w:r w:rsidRPr="00F56B0D">
        <w:rPr>
          <w:rFonts w:eastAsia="Times New Roman" w:cs="Times New Roman"/>
          <w:color w:val="000000"/>
        </w:rPr>
        <w:t>Because of the payer-specific payment ratio on the right</w:t>
      </w:r>
      <w:r w:rsidR="00766EE5" w:rsidRPr="00F56B0D">
        <w:rPr>
          <w:rFonts w:eastAsia="Times New Roman" w:cs="Times New Roman"/>
          <w:color w:val="000000"/>
        </w:rPr>
        <w:t>-</w:t>
      </w:r>
      <w:r w:rsidRPr="00F56B0D">
        <w:rPr>
          <w:rFonts w:eastAsia="Times New Roman" w:cs="Times New Roman"/>
          <w:color w:val="000000"/>
        </w:rPr>
        <w:t xml:space="preserve">hand side, </w:t>
      </w:r>
      <w:r w:rsidR="002157C4" w:rsidRPr="00F56B0D">
        <w:rPr>
          <w:rFonts w:eastAsia="Times New Roman" w:cs="Times New Roman"/>
          <w:color w:val="000000"/>
        </w:rPr>
        <w:t xml:space="preserve">Equation (3) is </w:t>
      </w:r>
      <w:r w:rsidR="005D47DE" w:rsidRPr="00F56B0D">
        <w:rPr>
          <w:rFonts w:eastAsia="Times New Roman" w:cs="Times New Roman"/>
          <w:color w:val="000000"/>
        </w:rPr>
        <w:t>specific to year, cause, and payer</w:t>
      </w:r>
      <w:r w:rsidR="002157C4" w:rsidRPr="00F56B0D">
        <w:rPr>
          <w:rFonts w:eastAsia="Times New Roman" w:cs="Times New Roman"/>
          <w:color w:val="000000"/>
        </w:rPr>
        <w:t>.</w:t>
      </w:r>
      <w:r w:rsidR="00843FDB" w:rsidRPr="00F56B0D">
        <w:rPr>
          <w:rFonts w:eastAsia="Times New Roman" w:cs="Times New Roman"/>
          <w:color w:val="000000"/>
        </w:rPr>
        <w:t xml:space="preserve"> </w:t>
      </w:r>
      <w:r w:rsidR="0026298F" w:rsidRPr="00F56B0D">
        <w:rPr>
          <w:rFonts w:eastAsia="Times New Roman" w:cs="Times New Roman"/>
          <w:color w:val="000000"/>
        </w:rPr>
        <w:t>However, th</w:t>
      </w:r>
      <w:r w:rsidR="000746AB" w:rsidRPr="00F56B0D">
        <w:rPr>
          <w:rFonts w:eastAsia="Times New Roman" w:cs="Times New Roman"/>
          <w:color w:val="000000"/>
        </w:rPr>
        <w:t>e NIS charge estimates we adjusted</w:t>
      </w:r>
      <w:r w:rsidR="0026298F" w:rsidRPr="00F56B0D">
        <w:rPr>
          <w:rFonts w:eastAsia="Times New Roman" w:cs="Times New Roman"/>
          <w:color w:val="000000"/>
        </w:rPr>
        <w:t xml:space="preserve"> </w:t>
      </w:r>
      <w:r w:rsidR="000746AB" w:rsidRPr="00F56B0D">
        <w:rPr>
          <w:rFonts w:eastAsia="Times New Roman" w:cs="Times New Roman"/>
          <w:color w:val="000000"/>
        </w:rPr>
        <w:t>were not stratified by payer. To be able to multiply the conversion factors into NIS and obtain expenditure estimates, a</w:t>
      </w:r>
      <w:r w:rsidR="00843FDB" w:rsidRPr="00F56B0D">
        <w:rPr>
          <w:rFonts w:eastAsia="Times New Roman" w:cs="Times New Roman"/>
          <w:color w:val="000000"/>
        </w:rPr>
        <w:t xml:space="preserve"> weighted average </w:t>
      </w:r>
      <w:r w:rsidR="002157C4" w:rsidRPr="00F56B0D">
        <w:rPr>
          <w:rFonts w:eastAsia="Times New Roman" w:cs="Times New Roman"/>
          <w:color w:val="000000"/>
        </w:rPr>
        <w:t xml:space="preserve">across payer </w:t>
      </w:r>
      <w:r w:rsidR="00843FDB" w:rsidRPr="00F56B0D">
        <w:rPr>
          <w:rFonts w:eastAsia="Times New Roman" w:cs="Times New Roman"/>
          <w:color w:val="000000"/>
        </w:rPr>
        <w:t xml:space="preserve">was taken </w:t>
      </w:r>
      <w:r w:rsidR="00856041" w:rsidRPr="00F56B0D">
        <w:rPr>
          <w:rFonts w:eastAsia="Times New Roman" w:cs="Times New Roman"/>
          <w:color w:val="000000"/>
        </w:rPr>
        <w:t xml:space="preserve">in order </w:t>
      </w:r>
      <w:r w:rsidR="00843FDB" w:rsidRPr="00F56B0D">
        <w:rPr>
          <w:rFonts w:eastAsia="Times New Roman" w:cs="Times New Roman"/>
          <w:color w:val="000000"/>
        </w:rPr>
        <w:t>to obtain a single conversion factor</w:t>
      </w:r>
      <w:r w:rsidR="00856041" w:rsidRPr="00F56B0D">
        <w:rPr>
          <w:rFonts w:eastAsia="Times New Roman" w:cs="Times New Roman"/>
          <w:color w:val="000000"/>
        </w:rPr>
        <w:t xml:space="preserve"> for each </w:t>
      </w:r>
      <w:r w:rsidR="00C46353" w:rsidRPr="00F56B0D">
        <w:rPr>
          <w:rFonts w:eastAsia="Times New Roman" w:cs="Times New Roman"/>
          <w:color w:val="000000"/>
        </w:rPr>
        <w:t>cause</w:t>
      </w:r>
      <w:r w:rsidR="000746AB" w:rsidRPr="00F56B0D">
        <w:rPr>
          <w:rFonts w:eastAsia="Times New Roman" w:cs="Times New Roman"/>
          <w:color w:val="000000"/>
        </w:rPr>
        <w:t xml:space="preserve">, year, and </w:t>
      </w:r>
      <w:r w:rsidR="00856041" w:rsidRPr="00F56B0D">
        <w:rPr>
          <w:rFonts w:eastAsia="Times New Roman" w:cs="Times New Roman"/>
          <w:color w:val="000000"/>
        </w:rPr>
        <w:t>draw combination</w:t>
      </w:r>
      <w:r w:rsidR="00843FDB" w:rsidRPr="00F56B0D">
        <w:rPr>
          <w:rFonts w:eastAsia="Times New Roman" w:cs="Times New Roman"/>
          <w:color w:val="000000"/>
        </w:rPr>
        <w:t>. The weights</w:t>
      </w:r>
      <w:r w:rsidR="000746AB" w:rsidRPr="00F56B0D">
        <w:rPr>
          <w:rFonts w:eastAsia="Times New Roman" w:cs="Times New Roman"/>
          <w:color w:val="000000"/>
        </w:rPr>
        <w:t xml:space="preserve"> for the average</w:t>
      </w:r>
      <w:r w:rsidR="00843FDB" w:rsidRPr="00F56B0D">
        <w:rPr>
          <w:rFonts w:eastAsia="Times New Roman" w:cs="Times New Roman"/>
          <w:color w:val="000000"/>
        </w:rPr>
        <w:t xml:space="preserve"> were </w:t>
      </w:r>
      <w:r w:rsidR="00856041" w:rsidRPr="00F56B0D">
        <w:rPr>
          <w:rFonts w:eastAsia="Times New Roman" w:cs="Times New Roman"/>
          <w:color w:val="000000"/>
        </w:rPr>
        <w:t xml:space="preserve">calculated </w:t>
      </w:r>
      <w:r w:rsidR="008B0F11" w:rsidRPr="00F56B0D">
        <w:rPr>
          <w:rFonts w:eastAsia="Times New Roman" w:cs="Times New Roman"/>
          <w:color w:val="000000"/>
        </w:rPr>
        <w:t xml:space="preserve">for each draw by taking </w:t>
      </w:r>
      <w:r w:rsidR="00843FDB" w:rsidRPr="00F56B0D">
        <w:rPr>
          <w:rFonts w:eastAsia="Times New Roman" w:cs="Times New Roman"/>
          <w:color w:val="000000"/>
        </w:rPr>
        <w:t>the cause-specific proportions of facility charges for each payer</w:t>
      </w:r>
      <w:r w:rsidR="0083572F" w:rsidRPr="00F56B0D">
        <w:rPr>
          <w:rFonts w:eastAsia="Times New Roman" w:cs="Times New Roman"/>
          <w:color w:val="000000"/>
        </w:rPr>
        <w:t xml:space="preserve"> at </w:t>
      </w:r>
      <w:r w:rsidR="008D0573" w:rsidRPr="00F56B0D">
        <w:rPr>
          <w:rFonts w:eastAsia="Times New Roman" w:cs="Times New Roman"/>
          <w:color w:val="000000"/>
        </w:rPr>
        <w:t xml:space="preserve">GBD cause </w:t>
      </w:r>
      <w:r w:rsidR="00843FDB" w:rsidRPr="00F56B0D">
        <w:rPr>
          <w:rFonts w:eastAsia="Times New Roman" w:cs="Times New Roman"/>
          <w:color w:val="000000"/>
        </w:rPr>
        <w:t xml:space="preserve">level </w:t>
      </w:r>
      <w:r w:rsidR="005D6FDD" w:rsidRPr="00F56B0D">
        <w:rPr>
          <w:rFonts w:eastAsia="Times New Roman" w:cs="Times New Roman"/>
          <w:color w:val="000000"/>
        </w:rPr>
        <w:t xml:space="preserve">three </w:t>
      </w:r>
      <w:r w:rsidR="002157C4" w:rsidRPr="00F56B0D">
        <w:rPr>
          <w:rFonts w:eastAsia="Times New Roman" w:cs="Times New Roman"/>
          <w:color w:val="000000"/>
        </w:rPr>
        <w:t>from NIS</w:t>
      </w:r>
      <w:r w:rsidR="00843FDB" w:rsidRPr="00F56B0D">
        <w:rPr>
          <w:rFonts w:eastAsia="Times New Roman" w:cs="Times New Roman"/>
          <w:color w:val="000000"/>
        </w:rPr>
        <w:t xml:space="preserve">. </w:t>
      </w:r>
      <w:r w:rsidR="000746AB" w:rsidRPr="00F56B0D">
        <w:rPr>
          <w:rFonts w:eastAsia="Times New Roman" w:cs="Times New Roman"/>
          <w:color w:val="000000"/>
        </w:rPr>
        <w:t xml:space="preserve">In doing this, we take into account the different distribution of payers across cause.  For example, cardiovascular diseases are more common among the elderly population, and consequently Medicare often is the primary payer for treating these diseases. </w:t>
      </w:r>
      <w:r w:rsidR="008D51EC" w:rsidRPr="00F56B0D">
        <w:rPr>
          <w:rFonts w:eastAsia="Times New Roman" w:cs="Times New Roman"/>
          <w:color w:val="000000"/>
        </w:rPr>
        <w:t>Thus w</w:t>
      </w:r>
      <w:r w:rsidR="000746AB" w:rsidRPr="00F56B0D">
        <w:rPr>
          <w:rFonts w:eastAsia="Times New Roman" w:cs="Times New Roman"/>
          <w:color w:val="000000"/>
        </w:rPr>
        <w:t xml:space="preserve">hen calculating the conversion factor, </w:t>
      </w:r>
      <w:r w:rsidR="00781837">
        <w:rPr>
          <w:rFonts w:eastAsia="Times New Roman" w:cs="Times New Roman"/>
          <w:color w:val="000000"/>
        </w:rPr>
        <w:t>the method used</w:t>
      </w:r>
      <w:r w:rsidR="00781837" w:rsidRPr="00F56B0D">
        <w:rPr>
          <w:rFonts w:eastAsia="Times New Roman" w:cs="Times New Roman"/>
          <w:color w:val="000000"/>
        </w:rPr>
        <w:t xml:space="preserve"> </w:t>
      </w:r>
      <w:r w:rsidR="000746AB" w:rsidRPr="00F56B0D">
        <w:rPr>
          <w:rFonts w:eastAsia="Times New Roman" w:cs="Times New Roman"/>
          <w:color w:val="000000"/>
        </w:rPr>
        <w:t xml:space="preserve">gave more weight to the public payment ratio for cardiovascular diseases. </w:t>
      </w:r>
      <w:r w:rsidR="008B1EE1" w:rsidRPr="00F56B0D">
        <w:rPr>
          <w:rFonts w:eastAsia="Times New Roman" w:cs="Times New Roman"/>
          <w:color w:val="000000"/>
        </w:rPr>
        <w:t xml:space="preserve">While the </w:t>
      </w:r>
      <w:r w:rsidR="00A445AE" w:rsidRPr="00F56B0D">
        <w:rPr>
          <w:rFonts w:eastAsia="Times New Roman" w:cs="Times New Roman"/>
          <w:color w:val="000000"/>
        </w:rPr>
        <w:t xml:space="preserve">main </w:t>
      </w:r>
      <w:r w:rsidR="008B1EE1" w:rsidRPr="00F56B0D">
        <w:rPr>
          <w:rFonts w:eastAsia="Times New Roman" w:cs="Times New Roman"/>
          <w:color w:val="000000"/>
        </w:rPr>
        <w:t xml:space="preserve">analysis was run </w:t>
      </w:r>
      <w:r w:rsidR="001E77B7" w:rsidRPr="00F56B0D">
        <w:rPr>
          <w:rFonts w:eastAsia="Times New Roman" w:cs="Times New Roman"/>
          <w:color w:val="000000"/>
        </w:rPr>
        <w:t xml:space="preserve">for the 32 causes </w:t>
      </w:r>
      <w:r w:rsidR="008B1EE1" w:rsidRPr="00F56B0D">
        <w:rPr>
          <w:rFonts w:eastAsia="Times New Roman" w:cs="Times New Roman"/>
          <w:color w:val="000000"/>
        </w:rPr>
        <w:t xml:space="preserve">at cause level </w:t>
      </w:r>
      <w:r w:rsidR="001E77B7" w:rsidRPr="00F56B0D">
        <w:rPr>
          <w:rFonts w:eastAsia="Times New Roman" w:cs="Times New Roman"/>
          <w:color w:val="000000"/>
        </w:rPr>
        <w:t xml:space="preserve">two </w:t>
      </w:r>
      <w:r w:rsidR="008B1EE1" w:rsidRPr="00F56B0D">
        <w:rPr>
          <w:rFonts w:eastAsia="Times New Roman" w:cs="Times New Roman"/>
          <w:color w:val="000000"/>
        </w:rPr>
        <w:t xml:space="preserve">in order to increase statistical power, weights </w:t>
      </w:r>
      <w:r w:rsidR="0016430B" w:rsidRPr="00F56B0D">
        <w:rPr>
          <w:rFonts w:eastAsia="Times New Roman" w:cs="Times New Roman"/>
          <w:color w:val="000000"/>
        </w:rPr>
        <w:t xml:space="preserve">for the weighted average </w:t>
      </w:r>
      <w:r w:rsidR="008B1EE1" w:rsidRPr="00F56B0D">
        <w:rPr>
          <w:rFonts w:eastAsia="Times New Roman" w:cs="Times New Roman"/>
          <w:color w:val="000000"/>
        </w:rPr>
        <w:t xml:space="preserve">were taken at the more granular </w:t>
      </w:r>
      <w:r w:rsidR="00B94846" w:rsidRPr="00F56B0D">
        <w:rPr>
          <w:rFonts w:eastAsia="Times New Roman" w:cs="Times New Roman"/>
          <w:color w:val="000000"/>
        </w:rPr>
        <w:t xml:space="preserve">level, GBD </w:t>
      </w:r>
      <w:r w:rsidR="008B1EE1" w:rsidRPr="00F56B0D">
        <w:rPr>
          <w:rFonts w:eastAsia="Times New Roman" w:cs="Times New Roman"/>
          <w:color w:val="000000"/>
        </w:rPr>
        <w:t>cause level three</w:t>
      </w:r>
      <w:r w:rsidR="00446E22" w:rsidRPr="00F56B0D">
        <w:rPr>
          <w:rFonts w:eastAsia="Times New Roman" w:cs="Times New Roman"/>
          <w:color w:val="000000"/>
        </w:rPr>
        <w:t>, which contains 187 cause categories</w:t>
      </w:r>
      <w:r w:rsidR="008B1EE1" w:rsidRPr="00F56B0D">
        <w:rPr>
          <w:rFonts w:eastAsia="Times New Roman" w:cs="Times New Roman"/>
          <w:color w:val="000000"/>
        </w:rPr>
        <w:t>. This decision was made because NIS is large enough to provide meaningful charge information when charges are stratified by</w:t>
      </w:r>
      <w:r w:rsidR="00433C5E" w:rsidRPr="00F56B0D">
        <w:rPr>
          <w:rFonts w:eastAsia="Times New Roman" w:cs="Times New Roman"/>
          <w:color w:val="000000"/>
        </w:rPr>
        <w:t xml:space="preserve"> </w:t>
      </w:r>
      <w:r w:rsidR="002B5939">
        <w:rPr>
          <w:rFonts w:eastAsia="Times New Roman" w:cs="Times New Roman"/>
          <w:color w:val="000000"/>
        </w:rPr>
        <w:t>level-</w:t>
      </w:r>
      <w:r w:rsidR="00C01366" w:rsidRPr="00F56B0D">
        <w:rPr>
          <w:rFonts w:eastAsia="Times New Roman" w:cs="Times New Roman"/>
          <w:color w:val="000000"/>
        </w:rPr>
        <w:t xml:space="preserve">three </w:t>
      </w:r>
      <w:r w:rsidR="008B1EE1" w:rsidRPr="00F56B0D">
        <w:rPr>
          <w:rFonts w:eastAsia="Times New Roman" w:cs="Times New Roman"/>
          <w:color w:val="000000"/>
        </w:rPr>
        <w:t>cause</w:t>
      </w:r>
      <w:r w:rsidR="00433C5E" w:rsidRPr="00F56B0D">
        <w:rPr>
          <w:rFonts w:eastAsia="Times New Roman" w:cs="Times New Roman"/>
          <w:color w:val="000000"/>
        </w:rPr>
        <w:t>,</w:t>
      </w:r>
      <w:r w:rsidR="008B1EE1" w:rsidRPr="00F56B0D">
        <w:rPr>
          <w:rFonts w:eastAsia="Times New Roman" w:cs="Times New Roman"/>
          <w:color w:val="000000"/>
        </w:rPr>
        <w:t xml:space="preserve"> and year. </w:t>
      </w:r>
      <w:r w:rsidR="00BA1A33" w:rsidRPr="00F56B0D">
        <w:rPr>
          <w:rFonts w:eastAsia="Times New Roman" w:cs="Times New Roman"/>
          <w:color w:val="000000"/>
        </w:rPr>
        <w:t xml:space="preserve">The weighted average </w:t>
      </w:r>
      <w:r w:rsidR="0026298F" w:rsidRPr="00F56B0D">
        <w:rPr>
          <w:rFonts w:eastAsia="Times New Roman" w:cs="Times New Roman"/>
          <w:color w:val="000000"/>
        </w:rPr>
        <w:t xml:space="preserve">of payment ratios across payer </w:t>
      </w:r>
      <w:r w:rsidR="004630B0" w:rsidRPr="00F56B0D">
        <w:rPr>
          <w:rFonts w:eastAsia="Times New Roman" w:cs="Times New Roman"/>
          <w:color w:val="000000"/>
        </w:rPr>
        <w:t>resulted in</w:t>
      </w:r>
      <w:r w:rsidR="00BA1A33" w:rsidRPr="00F56B0D">
        <w:rPr>
          <w:rFonts w:eastAsia="Times New Roman" w:cs="Times New Roman"/>
          <w:color w:val="000000"/>
        </w:rPr>
        <w:t xml:space="preserve"> the final conversion factor, which was applied to NIS</w:t>
      </w:r>
      <w:r w:rsidR="002B5939">
        <w:rPr>
          <w:rFonts w:eastAsia="Times New Roman" w:cs="Times New Roman"/>
          <w:color w:val="000000"/>
        </w:rPr>
        <w:t xml:space="preserve"> by year and level-</w:t>
      </w:r>
      <w:r w:rsidR="0026298F" w:rsidRPr="00F56B0D">
        <w:rPr>
          <w:rFonts w:eastAsia="Times New Roman" w:cs="Times New Roman"/>
          <w:color w:val="000000"/>
        </w:rPr>
        <w:t>three cause</w:t>
      </w:r>
      <w:r w:rsidR="00BA1A33" w:rsidRPr="00F56B0D">
        <w:rPr>
          <w:rFonts w:eastAsia="Times New Roman" w:cs="Times New Roman"/>
          <w:color w:val="000000"/>
        </w:rPr>
        <w:t xml:space="preserve">. </w:t>
      </w:r>
    </w:p>
    <w:p w14:paraId="30E94893" w14:textId="77777777" w:rsidR="00B94846" w:rsidRPr="00F56B0D" w:rsidRDefault="00B94846" w:rsidP="000A0182">
      <w:pPr>
        <w:spacing w:after="0" w:line="240" w:lineRule="auto"/>
        <w:rPr>
          <w:rFonts w:eastAsia="Times New Roman" w:cs="Times New Roman"/>
        </w:rPr>
      </w:pPr>
    </w:p>
    <w:p w14:paraId="57E4E1D0" w14:textId="79EECD82" w:rsidR="008B1EE1" w:rsidRDefault="00B94846" w:rsidP="000A0182">
      <w:pPr>
        <w:spacing w:after="0" w:line="240" w:lineRule="auto"/>
        <w:rPr>
          <w:rFonts w:eastAsia="Times New Roman" w:cs="Times New Roman"/>
        </w:rPr>
      </w:pPr>
      <w:r w:rsidRPr="00F56B0D">
        <w:rPr>
          <w:rFonts w:eastAsia="Times New Roman" w:cs="Times New Roman"/>
        </w:rPr>
        <w:t>This</w:t>
      </w:r>
      <w:r w:rsidR="000A1BE9" w:rsidRPr="00F56B0D">
        <w:rPr>
          <w:rFonts w:eastAsia="Times New Roman" w:cs="Times New Roman"/>
        </w:rPr>
        <w:t xml:space="preserve"> methodology was tested in-</w:t>
      </w:r>
      <w:r w:rsidR="00CD7ADC" w:rsidRPr="00F56B0D">
        <w:rPr>
          <w:rFonts w:eastAsia="Times New Roman" w:cs="Times New Roman"/>
        </w:rPr>
        <w:t xml:space="preserve">sample by applying the conversion factors to </w:t>
      </w:r>
      <w:r w:rsidR="00A82067" w:rsidRPr="00F56B0D">
        <w:rPr>
          <w:rFonts w:eastAsia="Times New Roman" w:cs="Times New Roman"/>
        </w:rPr>
        <w:t>MEPS</w:t>
      </w:r>
      <w:r w:rsidR="00CD7ADC" w:rsidRPr="00F56B0D">
        <w:rPr>
          <w:rFonts w:eastAsia="Times New Roman" w:cs="Times New Roman"/>
        </w:rPr>
        <w:t xml:space="preserve"> facility charges. </w:t>
      </w:r>
      <w:r w:rsidR="001D40AE" w:rsidRPr="00F56B0D">
        <w:rPr>
          <w:rFonts w:eastAsia="Times New Roman" w:cs="Times New Roman"/>
        </w:rPr>
        <w:t>The accuracy of the method</w:t>
      </w:r>
      <w:r w:rsidR="00154F48" w:rsidRPr="00F56B0D">
        <w:rPr>
          <w:rFonts w:eastAsia="Times New Roman" w:cs="Times New Roman"/>
        </w:rPr>
        <w:t xml:space="preserve"> can be checked by comparing </w:t>
      </w:r>
      <w:r w:rsidR="001D40AE" w:rsidRPr="00F56B0D">
        <w:rPr>
          <w:rFonts w:eastAsia="Times New Roman" w:cs="Times New Roman"/>
        </w:rPr>
        <w:t>the values predicted by the model</w:t>
      </w:r>
      <w:r w:rsidR="00154F48" w:rsidRPr="00F56B0D">
        <w:rPr>
          <w:rFonts w:eastAsia="Times New Roman" w:cs="Times New Roman"/>
        </w:rPr>
        <w:t xml:space="preserve"> to the actual observed values. </w:t>
      </w:r>
      <w:r w:rsidR="00CD7ADC" w:rsidRPr="00F56B0D">
        <w:rPr>
          <w:rFonts w:eastAsia="Times New Roman" w:cs="Times New Roman"/>
        </w:rPr>
        <w:t>The</w:t>
      </w:r>
      <w:r w:rsidR="00154F48" w:rsidRPr="00F56B0D">
        <w:rPr>
          <w:rFonts w:eastAsia="Times New Roman" w:cs="Times New Roman"/>
        </w:rPr>
        <w:t>se</w:t>
      </w:r>
      <w:r w:rsidR="00CD7ADC" w:rsidRPr="00F56B0D">
        <w:rPr>
          <w:rFonts w:eastAsia="Times New Roman" w:cs="Times New Roman"/>
        </w:rPr>
        <w:t xml:space="preserve"> results are shown in </w:t>
      </w:r>
      <w:r w:rsidR="00F94A40">
        <w:rPr>
          <w:rFonts w:eastAsia="Times New Roman" w:cs="Times New Roman"/>
        </w:rPr>
        <w:t>Fig S</w:t>
      </w:r>
      <w:r w:rsidR="00C115C4" w:rsidRPr="00F56B0D">
        <w:rPr>
          <w:rFonts w:eastAsia="Times New Roman" w:cs="Times New Roman"/>
        </w:rPr>
        <w:t>5</w:t>
      </w:r>
      <w:r w:rsidR="00CD7ADC" w:rsidRPr="00F56B0D">
        <w:rPr>
          <w:rFonts w:eastAsia="Times New Roman" w:cs="Times New Roman"/>
        </w:rPr>
        <w:t xml:space="preserve">. </w:t>
      </w:r>
      <w:r w:rsidR="003A04ED">
        <w:rPr>
          <w:rFonts w:eastAsia="Times New Roman" w:cs="Times New Roman"/>
        </w:rPr>
        <w:t>The p</w:t>
      </w:r>
      <w:r w:rsidR="00550AF7" w:rsidRPr="00F56B0D">
        <w:rPr>
          <w:rFonts w:eastAsia="Times New Roman" w:cs="Times New Roman"/>
        </w:rPr>
        <w:t xml:space="preserve">redicted </w:t>
      </w:r>
      <w:r w:rsidR="003A04ED">
        <w:rPr>
          <w:rFonts w:eastAsia="Times New Roman" w:cs="Times New Roman"/>
        </w:rPr>
        <w:t>payments and</w:t>
      </w:r>
      <w:r w:rsidR="00550AF7" w:rsidRPr="00F56B0D">
        <w:rPr>
          <w:rFonts w:eastAsia="Times New Roman" w:cs="Times New Roman"/>
        </w:rPr>
        <w:t xml:space="preserve"> reported </w:t>
      </w:r>
      <w:r w:rsidR="003A04ED">
        <w:rPr>
          <w:rFonts w:eastAsia="Times New Roman" w:cs="Times New Roman"/>
        </w:rPr>
        <w:t>payments</w:t>
      </w:r>
      <w:r w:rsidR="00550AF7" w:rsidRPr="00F56B0D">
        <w:rPr>
          <w:rFonts w:eastAsia="Times New Roman" w:cs="Times New Roman"/>
        </w:rPr>
        <w:t xml:space="preserve"> are closest </w:t>
      </w:r>
      <w:r w:rsidR="003A04ED">
        <w:rPr>
          <w:rFonts w:eastAsia="Times New Roman" w:cs="Times New Roman"/>
        </w:rPr>
        <w:t xml:space="preserve">together </w:t>
      </w:r>
      <w:r w:rsidR="00550AF7" w:rsidRPr="00F56B0D">
        <w:rPr>
          <w:rFonts w:eastAsia="Times New Roman" w:cs="Times New Roman"/>
        </w:rPr>
        <w:t>in the middle of the time series and diverge toward the beginning and end of the period of interest. This finding is expected, considering the payment</w:t>
      </w:r>
      <w:r w:rsidR="004630B0" w:rsidRPr="00F56B0D">
        <w:rPr>
          <w:rFonts w:eastAsia="Times New Roman" w:cs="Times New Roman"/>
        </w:rPr>
        <w:t xml:space="preserve"> </w:t>
      </w:r>
      <w:r w:rsidR="00550AF7" w:rsidRPr="00F56B0D">
        <w:rPr>
          <w:rFonts w:eastAsia="Times New Roman" w:cs="Times New Roman"/>
        </w:rPr>
        <w:t>ratio was modeled with a linear regression</w:t>
      </w:r>
      <w:r w:rsidR="00F770BA" w:rsidRPr="00F56B0D">
        <w:rPr>
          <w:rFonts w:eastAsia="Times New Roman" w:cs="Times New Roman"/>
        </w:rPr>
        <w:t xml:space="preserve">, </w:t>
      </w:r>
      <w:r w:rsidR="00B5328D" w:rsidRPr="00F56B0D">
        <w:rPr>
          <w:rFonts w:eastAsia="Times New Roman" w:cs="Times New Roman"/>
        </w:rPr>
        <w:t>while the true time trend is likely not completely linear</w:t>
      </w:r>
      <w:r w:rsidR="00550AF7" w:rsidRPr="00F56B0D">
        <w:rPr>
          <w:rFonts w:eastAsia="Times New Roman" w:cs="Times New Roman"/>
        </w:rPr>
        <w:t xml:space="preserve">. Nevertheless, the two lines are </w:t>
      </w:r>
      <w:r w:rsidR="00DB3FA2">
        <w:rPr>
          <w:rFonts w:eastAsia="Times New Roman" w:cs="Times New Roman"/>
        </w:rPr>
        <w:t>highly overlapping</w:t>
      </w:r>
      <w:r w:rsidR="00550AF7" w:rsidRPr="00F56B0D">
        <w:rPr>
          <w:rFonts w:eastAsia="Times New Roman" w:cs="Times New Roman"/>
        </w:rPr>
        <w:t xml:space="preserve">, suggesting that </w:t>
      </w:r>
      <w:r w:rsidR="00391B67">
        <w:rPr>
          <w:rFonts w:eastAsia="Times New Roman" w:cs="Times New Roman"/>
        </w:rPr>
        <w:t>the</w:t>
      </w:r>
      <w:r w:rsidR="00391B67" w:rsidRPr="00F56B0D">
        <w:rPr>
          <w:rFonts w:eastAsia="Times New Roman" w:cs="Times New Roman"/>
        </w:rPr>
        <w:t xml:space="preserve"> </w:t>
      </w:r>
      <w:r w:rsidR="00550AF7" w:rsidRPr="00F56B0D">
        <w:rPr>
          <w:rFonts w:eastAsia="Times New Roman" w:cs="Times New Roman"/>
        </w:rPr>
        <w:t xml:space="preserve">linear </w:t>
      </w:r>
      <w:r w:rsidR="00CC5FD1" w:rsidRPr="00F56B0D">
        <w:rPr>
          <w:rFonts w:eastAsia="Times New Roman" w:cs="Times New Roman"/>
        </w:rPr>
        <w:t xml:space="preserve">model </w:t>
      </w:r>
      <w:r w:rsidRPr="00F56B0D">
        <w:rPr>
          <w:rFonts w:eastAsia="Times New Roman" w:cs="Times New Roman"/>
        </w:rPr>
        <w:t xml:space="preserve">and </w:t>
      </w:r>
      <w:r w:rsidR="00391B67">
        <w:rPr>
          <w:rFonts w:eastAsia="Times New Roman" w:cs="Times New Roman"/>
        </w:rPr>
        <w:t xml:space="preserve">the </w:t>
      </w:r>
      <w:r w:rsidRPr="00F56B0D">
        <w:rPr>
          <w:rFonts w:eastAsia="Times New Roman" w:cs="Times New Roman"/>
        </w:rPr>
        <w:t>calculated conversion factors are</w:t>
      </w:r>
      <w:r w:rsidR="00CC5FD1" w:rsidRPr="00F56B0D">
        <w:rPr>
          <w:rFonts w:eastAsia="Times New Roman" w:cs="Times New Roman"/>
        </w:rPr>
        <w:t xml:space="preserve"> a valid </w:t>
      </w:r>
      <w:r w:rsidRPr="00F56B0D">
        <w:rPr>
          <w:rFonts w:eastAsia="Times New Roman" w:cs="Times New Roman"/>
        </w:rPr>
        <w:t>adjustment.</w:t>
      </w:r>
    </w:p>
    <w:p w14:paraId="2DA74E8F" w14:textId="77777777" w:rsidR="00C674D4" w:rsidRDefault="00C674D4" w:rsidP="000A0182">
      <w:pPr>
        <w:spacing w:after="0" w:line="240" w:lineRule="auto"/>
        <w:rPr>
          <w:rFonts w:eastAsia="Times New Roman" w:cs="Times New Roman"/>
        </w:rPr>
      </w:pPr>
    </w:p>
    <w:p w14:paraId="067D831E" w14:textId="65D393D1" w:rsidR="00C674D4" w:rsidRDefault="00C674D4" w:rsidP="000A0182">
      <w:pPr>
        <w:spacing w:after="0" w:line="240" w:lineRule="auto"/>
        <w:rPr>
          <w:rFonts w:ascii="Calibri" w:eastAsia="Times New Roman" w:hAnsi="Calibri" w:cs="Times New Roman"/>
          <w:b/>
          <w:color w:val="000000"/>
        </w:rPr>
      </w:pPr>
      <w:r w:rsidRPr="00C674D4">
        <w:rPr>
          <w:rFonts w:ascii="Calibri" w:eastAsia="Times New Roman" w:hAnsi="Calibri" w:cs="Times New Roman"/>
          <w:b/>
          <w:color w:val="000000"/>
        </w:rPr>
        <w:lastRenderedPageBreak/>
        <w:t xml:space="preserve">Fig </w:t>
      </w:r>
      <w:r w:rsidR="00F94A40">
        <w:rPr>
          <w:rFonts w:ascii="Calibri" w:eastAsia="Times New Roman" w:hAnsi="Calibri" w:cs="Times New Roman"/>
          <w:b/>
          <w:color w:val="000000"/>
        </w:rPr>
        <w:t>S</w:t>
      </w:r>
      <w:r w:rsidRPr="00C674D4">
        <w:rPr>
          <w:rFonts w:ascii="Calibri" w:eastAsia="Times New Roman" w:hAnsi="Calibri" w:cs="Times New Roman"/>
          <w:b/>
          <w:color w:val="000000"/>
        </w:rPr>
        <w:t>5.</w:t>
      </w:r>
      <w:r w:rsidRPr="00C674D4">
        <w:rPr>
          <w:rFonts w:ascii="Calibri" w:eastAsia="Times New Roman" w:hAnsi="Calibri" w:cs="Times New Roman"/>
          <w:color w:val="000000"/>
        </w:rPr>
        <w:t xml:space="preserve"> </w:t>
      </w:r>
      <w:r w:rsidRPr="00F94A40">
        <w:rPr>
          <w:rFonts w:ascii="Calibri" w:eastAsia="Times New Roman" w:hAnsi="Calibri" w:cs="Times New Roman"/>
          <w:b/>
          <w:color w:val="000000"/>
        </w:rPr>
        <w:t>Reported payments and charges from MEPS over time, compared with payments predicted by applying results of model to MEPS charge data.</w:t>
      </w:r>
    </w:p>
    <w:p w14:paraId="1A8A6F99" w14:textId="4BE80477" w:rsidR="00F94A40" w:rsidRPr="00F94A40" w:rsidRDefault="00F94A40" w:rsidP="000A0182">
      <w:pPr>
        <w:spacing w:after="0" w:line="240" w:lineRule="auto"/>
        <w:rPr>
          <w:rFonts w:ascii="Calibri" w:eastAsia="Times New Roman" w:hAnsi="Calibri" w:cs="Times New Roman"/>
          <w:b/>
          <w:color w:val="000000"/>
        </w:rPr>
      </w:pPr>
      <w:r>
        <w:rPr>
          <w:noProof/>
          <w:lang w:eastAsia="en-US"/>
        </w:rPr>
        <w:drawing>
          <wp:inline distT="0" distB="0" distL="0" distR="0" wp14:anchorId="1F0038CD" wp14:editId="668FD5B4">
            <wp:extent cx="5800725" cy="3396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2865" cy="3398024"/>
                    </a:xfrm>
                    <a:prstGeom prst="rect">
                      <a:avLst/>
                    </a:prstGeom>
                  </pic:spPr>
                </pic:pic>
              </a:graphicData>
            </a:graphic>
          </wp:inline>
        </w:drawing>
      </w:r>
    </w:p>
    <w:p w14:paraId="609C8949" w14:textId="6C651B59" w:rsidR="00B8349B" w:rsidRDefault="00CC5041" w:rsidP="00BC38CE">
      <w:pPr>
        <w:pStyle w:val="Heading1"/>
        <w:rPr>
          <w:rFonts w:ascii="Calibri Light" w:hAnsi="Calibri Light"/>
          <w:b w:val="0"/>
          <w:sz w:val="26"/>
          <w:szCs w:val="26"/>
        </w:rPr>
      </w:pPr>
      <w:r>
        <w:rPr>
          <w:rFonts w:ascii="Calibri Light" w:hAnsi="Calibri Light"/>
          <w:b w:val="0"/>
          <w:sz w:val="26"/>
          <w:szCs w:val="26"/>
        </w:rPr>
        <w:t>Adjusting</w:t>
      </w:r>
      <w:r w:rsidR="00B8349B">
        <w:rPr>
          <w:rFonts w:ascii="Calibri Light" w:hAnsi="Calibri Light"/>
          <w:b w:val="0"/>
          <w:sz w:val="26"/>
          <w:szCs w:val="26"/>
        </w:rPr>
        <w:t xml:space="preserve"> National Health Expenditure Account estimate for comparison</w:t>
      </w:r>
    </w:p>
    <w:p w14:paraId="6F987E40" w14:textId="16334FB4" w:rsidR="001B6923" w:rsidRDefault="00B8349B" w:rsidP="00B8349B">
      <w:r>
        <w:t xml:space="preserve">To test the validity of our model, we compared our </w:t>
      </w:r>
      <w:r w:rsidR="001B6923">
        <w:t>adjusted</w:t>
      </w:r>
      <w:r>
        <w:t xml:space="preserve"> NIS payments to </w:t>
      </w:r>
      <w:r w:rsidR="001B6923">
        <w:t>community hospital inpatient spending estimates derived from the</w:t>
      </w:r>
      <w:r>
        <w:t xml:space="preserve"> National Health Expenditure Account (NHEA). The Centers for Medicare &amp; Medicaid Services publish annual estimates of health spending in the US by type of good or service delivered. As none of these types of service aligned perfectly with inpatient </w:t>
      </w:r>
      <w:r w:rsidR="001B6923">
        <w:t>care</w:t>
      </w:r>
      <w:r>
        <w:t xml:space="preserve">, we adjusted the NHEA spending estimates to align with </w:t>
      </w:r>
      <w:r w:rsidR="00055B7B">
        <w:t>the sampling frame of NIS</w:t>
      </w:r>
      <w:r>
        <w:t xml:space="preserve">. </w:t>
      </w:r>
    </w:p>
    <w:p w14:paraId="12168CDC" w14:textId="732F16A4" w:rsidR="00055B7B" w:rsidRPr="00055B7B" w:rsidRDefault="001B6923" w:rsidP="00055B7B">
      <w:r>
        <w:t xml:space="preserve">We first applied previously published adjustments to correct the NHEA hospital spending estimates </w:t>
      </w:r>
      <w:r w:rsidR="001C7B02">
        <w:t xml:space="preserve">[12, 13]. </w:t>
      </w:r>
      <w:r>
        <w:t>Specifically, the NHEA hospital spending estimates include spending</w:t>
      </w:r>
      <w:r w:rsidR="00055B7B">
        <w:t xml:space="preserve"> by</w:t>
      </w:r>
      <w:r w:rsidR="00A57D76">
        <w:t xml:space="preserve"> entities that are excluded from</w:t>
      </w:r>
      <w:r w:rsidR="00055B7B">
        <w:t xml:space="preserve"> NIS</w:t>
      </w:r>
      <w:r>
        <w:t xml:space="preserve">, such as hospital-owned nursing facilities, or hospital-run home health care. We next multiplied this adjusted hospital-spending estimate by the fraction of hospital spending that occurred in </w:t>
      </w:r>
      <w:r w:rsidR="001F1161">
        <w:t xml:space="preserve">non-federal, </w:t>
      </w:r>
      <w:r>
        <w:t xml:space="preserve">community hospitals. This fraction was taken from </w:t>
      </w:r>
      <w:r w:rsidR="00A57D76">
        <w:t xml:space="preserve">research by </w:t>
      </w:r>
      <w:r>
        <w:t xml:space="preserve">the American Hospital Association, and was from 2012 [14]. Information comparing community hospital spending to all hospital spending was only available for 2012, 2013, and 2014. </w:t>
      </w:r>
      <w:r w:rsidR="00A57D76">
        <w:t>Since</w:t>
      </w:r>
      <w:r>
        <w:t xml:space="preserve"> the fraction was relatively constant for all three </w:t>
      </w:r>
      <w:r w:rsidR="00A57D76">
        <w:t xml:space="preserve">of these </w:t>
      </w:r>
      <w:r>
        <w:t xml:space="preserve">years, the 2012 number was taken to represent the fraction from 1996 to 2012. </w:t>
      </w:r>
      <w:r w:rsidR="00055B7B">
        <w:t>Next</w:t>
      </w:r>
      <w:r>
        <w:t xml:space="preserve">, </w:t>
      </w:r>
      <w:r w:rsidR="00055B7B" w:rsidRPr="00055B7B">
        <w:t>we removed hospital spending on emergency and outpatient departments. To do this we used payments from MEPS inpatient, hospital outpatient and emergency de</w:t>
      </w:r>
      <w:r w:rsidR="00055B7B">
        <w:t>partment</w:t>
      </w:r>
      <w:r w:rsidR="00055B7B" w:rsidRPr="00055B7B">
        <w:t xml:space="preserve"> files for each year to calculate the proportion of hospital spending which is from inpatient admissions. This fraction was applied to the adjusted NHEA estimate. The result represents total US spending on community hospital admissions and matches the sampling frame of NIS.</w:t>
      </w:r>
      <w:r w:rsidR="00055B7B">
        <w:t xml:space="preserve"> Finally, we subtracted out the amount spent on inpatient stays attributed to GBD “garbage codes” that was present in MEPS. </w:t>
      </w:r>
    </w:p>
    <w:p w14:paraId="53F7903E" w14:textId="115201AA" w:rsidR="008B1EE1" w:rsidRPr="00055B7B" w:rsidRDefault="008B1EE1" w:rsidP="00055B7B">
      <w:pPr>
        <w:pStyle w:val="Heading1"/>
        <w:rPr>
          <w:b w:val="0"/>
          <w:sz w:val="26"/>
          <w:szCs w:val="26"/>
        </w:rPr>
      </w:pPr>
      <w:r w:rsidRPr="00055B7B">
        <w:rPr>
          <w:b w:val="0"/>
          <w:sz w:val="26"/>
          <w:szCs w:val="26"/>
        </w:rPr>
        <w:lastRenderedPageBreak/>
        <w:t>Sensitivity analyses</w:t>
      </w:r>
    </w:p>
    <w:p w14:paraId="4654881D" w14:textId="4D30C1CC" w:rsidR="00A33A39" w:rsidRDefault="00A33A39" w:rsidP="000A0182">
      <w:pPr>
        <w:spacing w:line="240" w:lineRule="auto"/>
      </w:pPr>
      <w:r w:rsidRPr="00F56B0D">
        <w:t xml:space="preserve">We ran three sensitivity analyses to test whether altering the assumptions in our model made a significant difference in our results. </w:t>
      </w:r>
      <w:r w:rsidR="00F94A40">
        <w:t>Fig</w:t>
      </w:r>
      <w:r w:rsidRPr="00F56B0D">
        <w:t xml:space="preserve"> </w:t>
      </w:r>
      <w:r w:rsidR="00F94A40">
        <w:t>S</w:t>
      </w:r>
      <w:r w:rsidRPr="00F56B0D">
        <w:t xml:space="preserve">6 depicts the results of </w:t>
      </w:r>
      <w:r w:rsidR="006575D9" w:rsidRPr="00F56B0D">
        <w:t>the</w:t>
      </w:r>
      <w:r w:rsidRPr="00F56B0D">
        <w:t xml:space="preserve"> three </w:t>
      </w:r>
      <w:r w:rsidR="006575D9" w:rsidRPr="00F56B0D">
        <w:t xml:space="preserve">sensitivity </w:t>
      </w:r>
      <w:r w:rsidRPr="00F56B0D">
        <w:t xml:space="preserve">analyses </w:t>
      </w:r>
      <w:r w:rsidR="006575D9" w:rsidRPr="00F56B0D">
        <w:t>against</w:t>
      </w:r>
      <w:r w:rsidRPr="00F56B0D">
        <w:t xml:space="preserve"> those of the final methods</w:t>
      </w:r>
      <w:r w:rsidR="006575D9" w:rsidRPr="00F56B0D">
        <w:t xml:space="preserve"> to facilitate comparison between methods</w:t>
      </w:r>
      <w:r w:rsidRPr="00F56B0D">
        <w:t>.</w:t>
      </w:r>
    </w:p>
    <w:p w14:paraId="01917335" w14:textId="0336541E" w:rsidR="00430596" w:rsidRPr="00430596" w:rsidRDefault="00430596" w:rsidP="00430596">
      <w:pPr>
        <w:spacing w:after="0" w:line="240" w:lineRule="auto"/>
        <w:rPr>
          <w:rFonts w:ascii="Calibri" w:eastAsia="Times New Roman" w:hAnsi="Calibri" w:cs="Times New Roman"/>
          <w:color w:val="000000"/>
        </w:rPr>
      </w:pPr>
      <w:r w:rsidRPr="00430596">
        <w:rPr>
          <w:rFonts w:ascii="Calibri" w:eastAsia="Times New Roman" w:hAnsi="Calibri" w:cs="Times New Roman"/>
          <w:b/>
          <w:color w:val="000000"/>
        </w:rPr>
        <w:t xml:space="preserve">Fig </w:t>
      </w:r>
      <w:r w:rsidR="00F94A40">
        <w:rPr>
          <w:rFonts w:ascii="Calibri" w:eastAsia="Times New Roman" w:hAnsi="Calibri" w:cs="Times New Roman"/>
          <w:b/>
          <w:color w:val="000000"/>
        </w:rPr>
        <w:t>S</w:t>
      </w:r>
      <w:r w:rsidRPr="00430596">
        <w:rPr>
          <w:rFonts w:ascii="Calibri" w:eastAsia="Times New Roman" w:hAnsi="Calibri" w:cs="Times New Roman"/>
          <w:b/>
          <w:color w:val="000000"/>
        </w:rPr>
        <w:t>6.</w:t>
      </w:r>
      <w:r w:rsidRPr="00430596">
        <w:rPr>
          <w:rFonts w:ascii="Calibri" w:eastAsia="Times New Roman" w:hAnsi="Calibri" w:cs="Times New Roman"/>
          <w:color w:val="000000"/>
        </w:rPr>
        <w:t xml:space="preserve"> Estimated payments over time using each of three sensitivity analyses and the final method.</w:t>
      </w:r>
    </w:p>
    <w:p w14:paraId="43FD668F" w14:textId="59E3011A" w:rsidR="00430596" w:rsidRPr="00F56B0D" w:rsidRDefault="00F94A40" w:rsidP="000A0182">
      <w:pPr>
        <w:spacing w:line="240" w:lineRule="auto"/>
      </w:pPr>
      <w:r>
        <w:rPr>
          <w:noProof/>
          <w:lang w:eastAsia="en-US"/>
        </w:rPr>
        <w:drawing>
          <wp:inline distT="0" distB="0" distL="0" distR="0" wp14:anchorId="74AE2533" wp14:editId="2CC52AA8">
            <wp:extent cx="5943600" cy="350088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00886"/>
                    </a:xfrm>
                    <a:prstGeom prst="rect">
                      <a:avLst/>
                    </a:prstGeom>
                  </pic:spPr>
                </pic:pic>
              </a:graphicData>
            </a:graphic>
          </wp:inline>
        </w:drawing>
      </w:r>
    </w:p>
    <w:p w14:paraId="61633BEC" w14:textId="55BB240B" w:rsidR="008B1EE1" w:rsidRPr="00F56B0D" w:rsidRDefault="00795C35" w:rsidP="000A0182">
      <w:pPr>
        <w:spacing w:line="240" w:lineRule="auto"/>
      </w:pPr>
      <w:r w:rsidRPr="00F56B0D">
        <w:t xml:space="preserve">AHRQ provides MEPS data in a processed form. Part of </w:t>
      </w:r>
      <w:r w:rsidR="00110DDB" w:rsidRPr="00F56B0D">
        <w:t>this</w:t>
      </w:r>
      <w:r w:rsidRPr="00F56B0D">
        <w:t xml:space="preserve"> processing involves </w:t>
      </w:r>
      <w:r w:rsidR="00110DDB" w:rsidRPr="00F56B0D">
        <w:t>imputation of</w:t>
      </w:r>
      <w:r w:rsidRPr="00F56B0D">
        <w:t xml:space="preserve"> missing payment and charge data. Nonrandom measurement error would bias this paper’s estimates, so a sensitivity analysis was run in which the payment ratio regression was weighted by an imputation </w:t>
      </w:r>
      <w:r w:rsidR="00C839C3" w:rsidRPr="00F56B0D">
        <w:t>index</w:t>
      </w:r>
      <w:r w:rsidRPr="00F56B0D">
        <w:t xml:space="preserve">. </w:t>
      </w:r>
      <w:r w:rsidRPr="00795805">
        <w:t xml:space="preserve">The imputation </w:t>
      </w:r>
      <w:r w:rsidR="00C839C3" w:rsidRPr="00795805">
        <w:t xml:space="preserve">index </w:t>
      </w:r>
      <w:r w:rsidRPr="00795805">
        <w:t>is provided by MEPS</w:t>
      </w:r>
      <w:r w:rsidR="00C839C3" w:rsidRPr="00795805">
        <w:t xml:space="preserve">, and </w:t>
      </w:r>
      <w:r w:rsidRPr="00795805">
        <w:t>takes on five values, ranging from complete payment and charge information provided by a medical provider, to fully imputed</w:t>
      </w:r>
      <w:r w:rsidR="00DB3FA2" w:rsidRPr="00795805">
        <w:t xml:space="preserve"> </w:t>
      </w:r>
      <w:r w:rsidR="00DB3FA2" w:rsidRPr="00795805">
        <w:fldChar w:fldCharType="begin"/>
      </w:r>
      <w:r w:rsidR="00DB3FA2" w:rsidRPr="00795805">
        <w:instrText xml:space="preserve"> ADDIN ZOTERO_ITEM CSL_CITATION {"citationID":"QIeo0qm2","properties":{"formattedCitation":"[9]","plainCitation":"[9]"},"citationItems":[{"id":46165,"uris":["http://zotero.org/groups/21876/items/5Q7W2UMR"],"uri":["http://zotero.org/groups/21876/items/5Q7W2UMR"],"itemData":{"id":46165,"type":"article","title":"MEPS HC135D: 2010 Hospital Inpatient Stays","publisher":"Agency for Healthcare Research and Quality","issued":{"date-parts":[["2012",7]]}}}],"schema":"https://github.com/citation-style-language/schema/raw/master/csl-citation.json"} </w:instrText>
      </w:r>
      <w:r w:rsidR="00DB3FA2" w:rsidRPr="00795805">
        <w:fldChar w:fldCharType="separate"/>
      </w:r>
      <w:r w:rsidR="00DB3FA2" w:rsidRPr="00795805">
        <w:rPr>
          <w:rFonts w:ascii="Calibri" w:hAnsi="Calibri"/>
        </w:rPr>
        <w:t>[9]</w:t>
      </w:r>
      <w:r w:rsidR="00DB3FA2" w:rsidRPr="00795805">
        <w:fldChar w:fldCharType="end"/>
      </w:r>
      <w:r w:rsidRPr="00795805">
        <w:t xml:space="preserve">. The values </w:t>
      </w:r>
      <w:r w:rsidR="00C839C3" w:rsidRPr="00795805">
        <w:t xml:space="preserve">were </w:t>
      </w:r>
      <w:r w:rsidRPr="00795805">
        <w:t xml:space="preserve">ordered so </w:t>
      </w:r>
      <w:r w:rsidR="002B14C1" w:rsidRPr="00795805">
        <w:t xml:space="preserve">that </w:t>
      </w:r>
      <w:r w:rsidRPr="00795805">
        <w:t xml:space="preserve">the lowest value </w:t>
      </w:r>
      <w:r w:rsidR="00C839C3" w:rsidRPr="00795805">
        <w:t>indicated the most amount of imputation</w:t>
      </w:r>
      <w:r w:rsidRPr="00795805">
        <w:t xml:space="preserve">. </w:t>
      </w:r>
      <w:r w:rsidR="00110DDB" w:rsidRPr="00795805">
        <w:t xml:space="preserve">This indicator was used as an importance weight. </w:t>
      </w:r>
      <w:r w:rsidR="00391B67" w:rsidRPr="00795805">
        <w:t xml:space="preserve">To continue to take into account the relationship between larger charges and lower </w:t>
      </w:r>
      <w:r w:rsidR="00391B67">
        <w:t xml:space="preserve">payment ratios, </w:t>
      </w:r>
      <w:r w:rsidR="00DB3FA2">
        <w:t xml:space="preserve">observations were </w:t>
      </w:r>
      <w:r w:rsidR="00391B67">
        <w:t xml:space="preserve">duplicated. The number of duplicates </w:t>
      </w:r>
      <w:r w:rsidR="005C5CA6">
        <w:t>created</w:t>
      </w:r>
      <w:r w:rsidR="00391B67">
        <w:t xml:space="preserve"> was the ceiling of the </w:t>
      </w:r>
      <w:r w:rsidR="006E7158">
        <w:t xml:space="preserve">quotient: the </w:t>
      </w:r>
      <w:r w:rsidR="00391B67">
        <w:t xml:space="preserve">amount charged for a patient divided by the median </w:t>
      </w:r>
      <w:r w:rsidR="006E7158">
        <w:t>of the charges in the dataset</w:t>
      </w:r>
      <w:r w:rsidR="00391B67">
        <w:t>. In other words, whereas the</w:t>
      </w:r>
      <w:r w:rsidR="005C5CA6">
        <w:t xml:space="preserve"> final</w:t>
      </w:r>
      <w:r w:rsidR="00391B67">
        <w:t xml:space="preserve"> method used in this paper was </w:t>
      </w:r>
      <w:r w:rsidR="005C5CA6">
        <w:t>to weight the regression</w:t>
      </w:r>
      <w:r w:rsidR="00391B67">
        <w:t xml:space="preserve"> by patient weight and charge amount, this sensitivity analysis </w:t>
      </w:r>
      <w:r w:rsidR="005C5CA6">
        <w:t>weighted the regression</w:t>
      </w:r>
      <w:r w:rsidR="00391B67">
        <w:t xml:space="preserve"> by an imputation flag and charge amount. </w:t>
      </w:r>
      <w:r w:rsidR="00110DDB" w:rsidRPr="00F56B0D">
        <w:t xml:space="preserve">As seen in </w:t>
      </w:r>
      <w:r w:rsidR="00F94A40">
        <w:t>Fig</w:t>
      </w:r>
      <w:r w:rsidR="00110DDB" w:rsidRPr="00F56B0D">
        <w:t xml:space="preserve"> </w:t>
      </w:r>
      <w:r w:rsidR="00F94A40">
        <w:t>S</w:t>
      </w:r>
      <w:r w:rsidR="00056C80" w:rsidRPr="00F56B0D">
        <w:t>6</w:t>
      </w:r>
      <w:r w:rsidR="00110DDB" w:rsidRPr="00F56B0D">
        <w:t xml:space="preserve">, this </w:t>
      </w:r>
      <w:r w:rsidR="009D0E15">
        <w:t xml:space="preserve">alternative </w:t>
      </w:r>
      <w:r w:rsidR="00110DDB" w:rsidRPr="00F56B0D">
        <w:t xml:space="preserve">weighting system </w:t>
      </w:r>
      <w:r w:rsidR="00412FFC">
        <w:t xml:space="preserve">for the regression </w:t>
      </w:r>
      <w:r w:rsidR="00110DDB" w:rsidRPr="00F56B0D">
        <w:t xml:space="preserve">did not </w:t>
      </w:r>
      <w:r w:rsidR="005F5633">
        <w:t>substantially</w:t>
      </w:r>
      <w:r w:rsidR="005F5633" w:rsidRPr="00F56B0D">
        <w:t xml:space="preserve"> </w:t>
      </w:r>
      <w:r w:rsidR="00110DDB" w:rsidRPr="00F56B0D">
        <w:t xml:space="preserve">change our results. </w:t>
      </w:r>
    </w:p>
    <w:p w14:paraId="4763C300" w14:textId="304270D0" w:rsidR="00AA49C6" w:rsidRPr="00F56B0D" w:rsidRDefault="00110DDB" w:rsidP="000A0182">
      <w:pPr>
        <w:spacing w:line="240" w:lineRule="auto"/>
      </w:pPr>
      <w:r w:rsidRPr="00F56B0D">
        <w:t xml:space="preserve">A second sensitivity analysis was performed to test the assumption </w:t>
      </w:r>
      <w:r w:rsidR="00C217B5" w:rsidRPr="00F56B0D">
        <w:t xml:space="preserve">that </w:t>
      </w:r>
      <w:r w:rsidRPr="00F56B0D">
        <w:t xml:space="preserve">a cause-specific payment ratio </w:t>
      </w:r>
      <w:r w:rsidR="00C217B5" w:rsidRPr="00F56B0D">
        <w:t xml:space="preserve">has </w:t>
      </w:r>
      <w:r w:rsidRPr="00F56B0D">
        <w:t>a linear relationship with time. In this analysis, a</w:t>
      </w:r>
      <w:r w:rsidR="00AA49C6" w:rsidRPr="00F56B0D">
        <w:t xml:space="preserve"> </w:t>
      </w:r>
      <w:r w:rsidR="001F50D4">
        <w:t>natural spline regression</w:t>
      </w:r>
      <w:r w:rsidRPr="00F56B0D">
        <w:t xml:space="preserve"> was run instead of a linear regression.</w:t>
      </w:r>
      <w:r w:rsidR="001F50D4">
        <w:t xml:space="preserve"> This regression was run with the same weights used in the </w:t>
      </w:r>
      <w:r w:rsidR="00E23911">
        <w:t>final</w:t>
      </w:r>
      <w:r w:rsidR="001F50D4">
        <w:t xml:space="preserve"> analysis.</w:t>
      </w:r>
      <w:r w:rsidRPr="00F56B0D">
        <w:t xml:space="preserve"> </w:t>
      </w:r>
      <w:r w:rsidR="00F94A40">
        <w:t>Fig S</w:t>
      </w:r>
      <w:r w:rsidR="00AA49C6" w:rsidRPr="00F56B0D">
        <w:t xml:space="preserve">6 </w:t>
      </w:r>
      <w:r w:rsidR="00056C80" w:rsidRPr="00F56B0D">
        <w:t xml:space="preserve">also </w:t>
      </w:r>
      <w:r w:rsidR="00AA49C6" w:rsidRPr="00F56B0D">
        <w:t>shows that</w:t>
      </w:r>
      <w:r w:rsidRPr="00F56B0D">
        <w:t xml:space="preserve"> </w:t>
      </w:r>
      <w:r w:rsidR="002D3A5A">
        <w:t>modeling</w:t>
      </w:r>
      <w:r w:rsidR="001F50D4">
        <w:t xml:space="preserve"> a nonlinear relationship between payment ratio and time</w:t>
      </w:r>
      <w:r w:rsidRPr="00F56B0D">
        <w:t xml:space="preserve"> did not </w:t>
      </w:r>
      <w:r w:rsidR="005F5633">
        <w:t>substantially</w:t>
      </w:r>
      <w:r w:rsidR="005F5633" w:rsidRPr="00F56B0D">
        <w:t xml:space="preserve"> </w:t>
      </w:r>
      <w:r w:rsidRPr="00F56B0D">
        <w:t>alter the results.</w:t>
      </w:r>
    </w:p>
    <w:p w14:paraId="320BD899" w14:textId="3B098095" w:rsidR="00527D65" w:rsidRDefault="00BB35BF" w:rsidP="000A0182">
      <w:pPr>
        <w:spacing w:line="240" w:lineRule="auto"/>
      </w:pPr>
      <w:r w:rsidRPr="00F56B0D">
        <w:lastRenderedPageBreak/>
        <w:t>Finally, there were a small number of observations in which the reported charges were less than the payments. These were considered to be errors, and in the main analysis we reset charges to be equal to the corresponding payments, creating a payment ratio of one for these observations. The decision to set charges down to payments rather than increasing payments up to charges meant that these observations would also be slightly down-weighted, since charges were incorporated into the regression weights.</w:t>
      </w:r>
      <w:r w:rsidR="007E6B9E" w:rsidRPr="00F56B0D">
        <w:t xml:space="preserve"> To test this procedure we ran the regression without resetting charges in these </w:t>
      </w:r>
      <w:r w:rsidR="00B42A5C" w:rsidRPr="00F56B0D">
        <w:t>observations</w:t>
      </w:r>
      <w:r w:rsidR="00A33A39" w:rsidRPr="00F56B0D">
        <w:t xml:space="preserve">. </w:t>
      </w:r>
      <w:r w:rsidR="00F94A40">
        <w:t>Fig S</w:t>
      </w:r>
      <w:r w:rsidR="00A33A39" w:rsidRPr="00F56B0D">
        <w:t>6</w:t>
      </w:r>
      <w:r w:rsidR="00AA49C6" w:rsidRPr="00F56B0D">
        <w:t xml:space="preserve"> shows that this adjustment did</w:t>
      </w:r>
      <w:r w:rsidR="007E6B9E" w:rsidRPr="00F56B0D">
        <w:t xml:space="preserve"> not </w:t>
      </w:r>
      <w:r w:rsidR="005F5633">
        <w:t>substantially</w:t>
      </w:r>
      <w:r w:rsidR="005F5633" w:rsidRPr="00F56B0D">
        <w:t xml:space="preserve"> </w:t>
      </w:r>
      <w:r w:rsidR="007E6B9E" w:rsidRPr="00F56B0D">
        <w:t>change</w:t>
      </w:r>
      <w:r w:rsidR="00AA49C6" w:rsidRPr="00F56B0D">
        <w:t xml:space="preserve"> our results</w:t>
      </w:r>
      <w:r w:rsidR="007E6B9E" w:rsidRPr="00F56B0D">
        <w:t>.</w:t>
      </w:r>
    </w:p>
    <w:p w14:paraId="769C18BA" w14:textId="534AD405" w:rsidR="00527D65" w:rsidRDefault="00B56DAE" w:rsidP="00527D65">
      <w:pPr>
        <w:pStyle w:val="Heading1"/>
        <w:rPr>
          <w:rFonts w:ascii="Calibri Light" w:hAnsi="Calibri Light"/>
          <w:b w:val="0"/>
          <w:sz w:val="26"/>
          <w:szCs w:val="26"/>
        </w:rPr>
      </w:pPr>
      <w:r>
        <w:rPr>
          <w:rFonts w:ascii="Calibri Light" w:hAnsi="Calibri Light"/>
          <w:b w:val="0"/>
          <w:sz w:val="26"/>
          <w:szCs w:val="26"/>
        </w:rPr>
        <w:t>References</w:t>
      </w:r>
    </w:p>
    <w:p w14:paraId="72A4F4A3" w14:textId="7EC86A00" w:rsidR="001C7B02" w:rsidRPr="001C7B02" w:rsidRDefault="00ED440A" w:rsidP="003117EE">
      <w:pPr>
        <w:pStyle w:val="Bibliography"/>
        <w:numPr>
          <w:ilvl w:val="0"/>
          <w:numId w:val="4"/>
        </w:numPr>
        <w:rPr>
          <w:rFonts w:ascii="Calibri" w:hAnsi="Calibri"/>
        </w:rPr>
      </w:pPr>
      <w:r>
        <w:fldChar w:fldCharType="begin"/>
      </w:r>
      <w:r w:rsidR="00B00556">
        <w:instrText xml:space="preserve"> ADDIN ZOTERO_BIBL {"custom":[]} CSL_BIBLIOGRAPHY </w:instrText>
      </w:r>
      <w:r>
        <w:fldChar w:fldCharType="separate"/>
      </w:r>
      <w:r w:rsidR="00B00556" w:rsidRPr="00B00556">
        <w:rPr>
          <w:rFonts w:ascii="Calibri" w:hAnsi="Calibri"/>
        </w:rPr>
        <w:t>Sommers J. An Examination of State Estimates Using Multiple Years of Data from the Medical Expenditure Panel Survey, Household Component. Agency Healthc Res Qual. 2006;Working Paper. Available: http://meps.ahrq.gov/mepsweb/data_files/publications/workingpapers/wp_06004.pdf</w:t>
      </w:r>
    </w:p>
    <w:p w14:paraId="2C9A7A4C" w14:textId="69978C04" w:rsidR="00B00556" w:rsidRPr="00B00556" w:rsidRDefault="00B00556" w:rsidP="003117EE">
      <w:pPr>
        <w:pStyle w:val="Bibliography"/>
        <w:numPr>
          <w:ilvl w:val="0"/>
          <w:numId w:val="4"/>
        </w:numPr>
        <w:rPr>
          <w:rFonts w:ascii="Calibri" w:hAnsi="Calibri"/>
        </w:rPr>
      </w:pPr>
      <w:r w:rsidRPr="00B00556">
        <w:rPr>
          <w:rFonts w:ascii="Calibri" w:hAnsi="Calibri"/>
        </w:rPr>
        <w:t>GBD 2013 Mortality and Causes of Death Collaborators. Global, regional, and national age-sex specific all-cause and cause-specific mortality for 240 causes of death, 1990-2013: a systematic analysis for the Global Burden of Disease Study 2013. Lancet Lond Engl. 2015;385: 117–171. doi:10.1016/S0140-6736(14)61682-2</w:t>
      </w:r>
    </w:p>
    <w:p w14:paraId="3D529272" w14:textId="75E365C5" w:rsidR="00B00556" w:rsidRPr="00B00556" w:rsidRDefault="00B00556" w:rsidP="003117EE">
      <w:pPr>
        <w:pStyle w:val="Bibliography"/>
        <w:numPr>
          <w:ilvl w:val="0"/>
          <w:numId w:val="4"/>
        </w:numPr>
        <w:rPr>
          <w:rFonts w:ascii="Calibri" w:hAnsi="Calibri"/>
        </w:rPr>
      </w:pPr>
      <w:r w:rsidRPr="00B00556">
        <w:rPr>
          <w:rFonts w:ascii="Calibri" w:hAnsi="Calibri"/>
        </w:rPr>
        <w:t>Global Burden of Disease Study 2013 Collaborators. Global, regional, and national incidence, prevalence, and years lived with disability for 301 acute and chronic diseases and injuries in 188 countries, 1990-2013: a systematic analysis for the Global Burden of Disease Study 2013. Lancet Lond Engl. 2015; doi:10.1016/S0140-6736(15)60692-4</w:t>
      </w:r>
    </w:p>
    <w:p w14:paraId="23C8FB47" w14:textId="2FC41B1F" w:rsidR="00B00556" w:rsidRPr="00B00556" w:rsidRDefault="00B00556" w:rsidP="003117EE">
      <w:pPr>
        <w:pStyle w:val="Bibliography"/>
        <w:numPr>
          <w:ilvl w:val="0"/>
          <w:numId w:val="4"/>
        </w:numPr>
        <w:rPr>
          <w:rFonts w:ascii="Calibri" w:hAnsi="Calibri"/>
          <w:lang w:val="fr-CA"/>
        </w:rPr>
      </w:pPr>
      <w:r w:rsidRPr="00B00556">
        <w:rPr>
          <w:rFonts w:ascii="Calibri" w:hAnsi="Calibri"/>
        </w:rPr>
        <w:t xml:space="preserve">ICD - ICD-10-CM - International Classification of Diseases,(ICD-10-CM/PCS Transition [Internet]. [cited 28 Jul 2015]. </w:t>
      </w:r>
      <w:r w:rsidRPr="00B00556">
        <w:rPr>
          <w:rFonts w:ascii="Calibri" w:hAnsi="Calibri"/>
          <w:lang w:val="fr-CA"/>
        </w:rPr>
        <w:t>Available: http://www.cdc.gov/nchs/icd/icd10cm_pcs_background.htm</w:t>
      </w:r>
    </w:p>
    <w:p w14:paraId="705CA0CA" w14:textId="1151451D" w:rsidR="00B00556" w:rsidRPr="00B00556" w:rsidRDefault="00B00556" w:rsidP="003117EE">
      <w:pPr>
        <w:pStyle w:val="Bibliography"/>
        <w:numPr>
          <w:ilvl w:val="0"/>
          <w:numId w:val="4"/>
        </w:numPr>
        <w:rPr>
          <w:rFonts w:ascii="Calibri" w:hAnsi="Calibri"/>
        </w:rPr>
      </w:pPr>
      <w:r w:rsidRPr="00B00556">
        <w:rPr>
          <w:rFonts w:ascii="Calibri" w:hAnsi="Calibri"/>
        </w:rPr>
        <w:t>Lopez A, Mathers C, Ezzati M, Jamison D, Murray C. The Burden of Disease and Mortality by Condition: Data, Methods, and Results for 2001. Global Burden of Disease and Risk Factors. Available: http://dcp-3.org/sites/default/files/gbd/GBD03.pdf</w:t>
      </w:r>
    </w:p>
    <w:p w14:paraId="2C9168F5" w14:textId="75D51CA2" w:rsidR="00B00556" w:rsidRPr="00B00556" w:rsidRDefault="00B00556" w:rsidP="003117EE">
      <w:pPr>
        <w:pStyle w:val="Bibliography"/>
        <w:numPr>
          <w:ilvl w:val="0"/>
          <w:numId w:val="4"/>
        </w:numPr>
        <w:rPr>
          <w:rFonts w:ascii="Calibri" w:hAnsi="Calibri"/>
        </w:rPr>
      </w:pPr>
      <w:r w:rsidRPr="00B00556">
        <w:rPr>
          <w:rFonts w:ascii="Calibri" w:hAnsi="Calibri"/>
          <w:lang w:val="fr-CA"/>
        </w:rPr>
        <w:t xml:space="preserve">Vos T, Flaxman AD, Naghavi M, Lozano R, Michaud C, Ezzati M, et al. </w:t>
      </w:r>
      <w:r w:rsidRPr="00B00556">
        <w:rPr>
          <w:rFonts w:ascii="Calibri" w:hAnsi="Calibri"/>
        </w:rPr>
        <w:t>Years lived with disability (YLDs) for 1160 sequelae of 289 diseases and injuries 1990-2010: a systematic analysis for the Global Burden of Disease Study 2010. Lancet Lond Engl. 2012;380: 2163–2196. doi:10.1016/S0140-6736(12)61729-2</w:t>
      </w:r>
    </w:p>
    <w:p w14:paraId="61745758" w14:textId="0BB86E69" w:rsidR="00B00556" w:rsidRPr="00B00556" w:rsidRDefault="00B00556" w:rsidP="003117EE">
      <w:pPr>
        <w:pStyle w:val="Bibliography"/>
        <w:numPr>
          <w:ilvl w:val="0"/>
          <w:numId w:val="4"/>
        </w:numPr>
        <w:rPr>
          <w:rFonts w:ascii="Calibri" w:hAnsi="Calibri"/>
        </w:rPr>
      </w:pPr>
      <w:r w:rsidRPr="00B00556">
        <w:rPr>
          <w:rFonts w:ascii="Calibri" w:hAnsi="Calibri"/>
        </w:rPr>
        <w:t>Schneider A, Hommel G, Blettner M. Linear Regression Analysis. Dtsch Ärzteblatt Int. 2010;107: 776–782. doi:10.3238/arztebl.2010.0776</w:t>
      </w:r>
    </w:p>
    <w:p w14:paraId="4747AABA" w14:textId="3D7079DA" w:rsidR="00B00556" w:rsidRPr="00B00556" w:rsidRDefault="00B00556" w:rsidP="003117EE">
      <w:pPr>
        <w:pStyle w:val="Bibliography"/>
        <w:numPr>
          <w:ilvl w:val="0"/>
          <w:numId w:val="4"/>
        </w:numPr>
        <w:rPr>
          <w:rFonts w:ascii="Calibri" w:hAnsi="Calibri"/>
        </w:rPr>
      </w:pPr>
      <w:r w:rsidRPr="00B00556">
        <w:rPr>
          <w:rFonts w:ascii="Calibri" w:hAnsi="Calibri"/>
        </w:rPr>
        <w:t>Green SB. How Many Subjects Does It Take To Do A Regression Analysis. Multivar Behav Res. 1991;26: 499–510. doi:10.1207/s15327906mbr2603_7</w:t>
      </w:r>
    </w:p>
    <w:p w14:paraId="236D80A8" w14:textId="1EFF7385" w:rsidR="00B00556" w:rsidRPr="00B00556" w:rsidRDefault="00B00556" w:rsidP="003117EE">
      <w:pPr>
        <w:pStyle w:val="Bibliography"/>
        <w:numPr>
          <w:ilvl w:val="0"/>
          <w:numId w:val="4"/>
        </w:numPr>
        <w:rPr>
          <w:rFonts w:ascii="Calibri" w:hAnsi="Calibri"/>
        </w:rPr>
      </w:pPr>
      <w:r w:rsidRPr="00B00556">
        <w:rPr>
          <w:rFonts w:ascii="Calibri" w:hAnsi="Calibri"/>
        </w:rPr>
        <w:t xml:space="preserve">MEPS HC135D: 2010 Hospital Inpatient Stays. Agency for Healthcare Research and Quality; 2012. </w:t>
      </w:r>
    </w:p>
    <w:p w14:paraId="3AED73C4" w14:textId="48FF6831" w:rsidR="00B00556" w:rsidRPr="00B00556" w:rsidRDefault="00B00556" w:rsidP="003117EE">
      <w:pPr>
        <w:pStyle w:val="Bibliography"/>
        <w:numPr>
          <w:ilvl w:val="0"/>
          <w:numId w:val="4"/>
        </w:numPr>
        <w:rPr>
          <w:rFonts w:ascii="Calibri" w:hAnsi="Calibri"/>
          <w:lang w:val="fr-CA"/>
        </w:rPr>
      </w:pPr>
      <w:r w:rsidRPr="00B00556">
        <w:rPr>
          <w:rFonts w:ascii="Calibri" w:hAnsi="Calibri"/>
        </w:rPr>
        <w:t xml:space="preserve">HCUP NIS Desption of Data Elements [Internet]. Healthcare Cost and Utilization Project; September 08. </w:t>
      </w:r>
      <w:r w:rsidRPr="00B00556">
        <w:rPr>
          <w:rFonts w:ascii="Calibri" w:hAnsi="Calibri"/>
          <w:lang w:val="fr-CA"/>
        </w:rPr>
        <w:t>Available: www.hcup-us.ahrq.gov/db/vars/totchg/nisnote.jsp</w:t>
      </w:r>
    </w:p>
    <w:p w14:paraId="71F33B0C" w14:textId="094D0675" w:rsidR="003117EE" w:rsidRPr="003117EE" w:rsidRDefault="00B00556" w:rsidP="003117EE">
      <w:pPr>
        <w:pStyle w:val="Bibliography"/>
        <w:numPr>
          <w:ilvl w:val="0"/>
          <w:numId w:val="4"/>
        </w:numPr>
        <w:rPr>
          <w:rFonts w:ascii="Calibri" w:hAnsi="Calibri"/>
        </w:rPr>
      </w:pPr>
      <w:r w:rsidRPr="00B00556">
        <w:rPr>
          <w:rFonts w:ascii="Calibri" w:hAnsi="Calibri"/>
        </w:rPr>
        <w:lastRenderedPageBreak/>
        <w:t>Reinhardt UE. The Pricing Of U.S. Hospital Services: Chaos Behind A Veil Of Secrecy. Health Aff (Millwood). 2006;25: 57–69. doi:10.1377/hlthaff.25.1.57</w:t>
      </w:r>
    </w:p>
    <w:p w14:paraId="54878CC3" w14:textId="6AFD6422" w:rsidR="003117EE" w:rsidRDefault="003117EE" w:rsidP="003117EE">
      <w:pPr>
        <w:pStyle w:val="Bibliography"/>
        <w:numPr>
          <w:ilvl w:val="0"/>
          <w:numId w:val="4"/>
        </w:numPr>
        <w:rPr>
          <w:rFonts w:ascii="Calibri" w:hAnsi="Calibri"/>
        </w:rPr>
      </w:pPr>
      <w:r w:rsidRPr="008B037C">
        <w:rPr>
          <w:rFonts w:ascii="Calibri" w:hAnsi="Calibri"/>
        </w:rPr>
        <w:t>Roehrig C, Miller G, Lake C, Bryant J. National Health Spending By Medical Condition, 1996–2005. Health Aff (Millwood). 2009;28: w358–w367. doi:10.1377/hlthaff.28.2.w358</w:t>
      </w:r>
    </w:p>
    <w:p w14:paraId="6F2FEB14" w14:textId="15F75DF2" w:rsidR="003117EE" w:rsidRDefault="003117EE" w:rsidP="003117EE">
      <w:pPr>
        <w:pStyle w:val="ListParagraph"/>
        <w:numPr>
          <w:ilvl w:val="0"/>
          <w:numId w:val="4"/>
        </w:numPr>
        <w:rPr>
          <w:rFonts w:ascii="Calibri" w:hAnsi="Calibri"/>
        </w:rPr>
      </w:pPr>
      <w:r w:rsidRPr="003117EE">
        <w:rPr>
          <w:rFonts w:ascii="Calibri" w:hAnsi="Calibri"/>
        </w:rPr>
        <w:t>Bernard D, Cowan C, Selden T, Cai L, Catlin A, Heffler S. Reconciling Medical Expenditure Estimates from the MEPS and NHEA, 2007. Medicare Medicaid Res Rev. 2012;2. doi:10.5600/mmrr.002.04.a09</w:t>
      </w:r>
    </w:p>
    <w:p w14:paraId="5F1B013F" w14:textId="5700AC3A" w:rsidR="003117EE" w:rsidRPr="003117EE" w:rsidRDefault="003117EE" w:rsidP="003117EE">
      <w:pPr>
        <w:pStyle w:val="ListParagraph"/>
        <w:numPr>
          <w:ilvl w:val="0"/>
          <w:numId w:val="4"/>
        </w:numPr>
        <w:rPr>
          <w:rFonts w:ascii="Calibri" w:hAnsi="Calibri"/>
        </w:rPr>
      </w:pPr>
      <w:r>
        <w:rPr>
          <w:rStyle w:val="selectable"/>
        </w:rPr>
        <w:t xml:space="preserve">"Fast Facts On US Hospitals". </w:t>
      </w:r>
      <w:r w:rsidRPr="003117EE">
        <w:rPr>
          <w:rStyle w:val="selectable"/>
          <w:i/>
          <w:iCs/>
        </w:rPr>
        <w:t>Aha.org</w:t>
      </w:r>
      <w:r>
        <w:rPr>
          <w:rStyle w:val="selectable"/>
        </w:rPr>
        <w:t>. N.p., 2016. Web. 22 Apr. 2016.</w:t>
      </w:r>
    </w:p>
    <w:p w14:paraId="77FAB800" w14:textId="77777777" w:rsidR="003117EE" w:rsidRPr="003117EE" w:rsidRDefault="003117EE" w:rsidP="003117EE"/>
    <w:p w14:paraId="654EDB55" w14:textId="1D414604" w:rsidR="001C7B02" w:rsidRPr="001C7B02" w:rsidRDefault="001C7B02" w:rsidP="001C7B02"/>
    <w:p w14:paraId="41B98408" w14:textId="05F6B678" w:rsidR="00ED440A" w:rsidRPr="00ED440A" w:rsidRDefault="00ED440A" w:rsidP="00ED440A">
      <w:r>
        <w:fldChar w:fldCharType="end"/>
      </w:r>
    </w:p>
    <w:sectPr w:rsidR="00ED440A" w:rsidRPr="00ED440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CF64F" w14:textId="77777777" w:rsidR="0094133F" w:rsidRDefault="0094133F" w:rsidP="001F3F37">
      <w:pPr>
        <w:spacing w:after="0" w:line="240" w:lineRule="auto"/>
      </w:pPr>
      <w:r>
        <w:separator/>
      </w:r>
    </w:p>
  </w:endnote>
  <w:endnote w:type="continuationSeparator" w:id="0">
    <w:p w14:paraId="6172C9A5" w14:textId="77777777" w:rsidR="0094133F" w:rsidRDefault="0094133F" w:rsidP="001F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8714" w14:textId="77777777" w:rsidR="001848E7" w:rsidRDefault="00184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10903"/>
      <w:docPartObj>
        <w:docPartGallery w:val="Page Numbers (Bottom of Page)"/>
        <w:docPartUnique/>
      </w:docPartObj>
    </w:sdtPr>
    <w:sdtEndPr>
      <w:rPr>
        <w:noProof/>
      </w:rPr>
    </w:sdtEndPr>
    <w:sdtContent>
      <w:p w14:paraId="244E0BE8" w14:textId="5D5DA34B" w:rsidR="001F3F37" w:rsidRDefault="001F3F37">
        <w:pPr>
          <w:pStyle w:val="Footer"/>
          <w:jc w:val="center"/>
        </w:pPr>
        <w:r>
          <w:fldChar w:fldCharType="begin"/>
        </w:r>
        <w:r>
          <w:instrText xml:space="preserve"> PAGE   \* MERGEFORMAT </w:instrText>
        </w:r>
        <w:r>
          <w:fldChar w:fldCharType="separate"/>
        </w:r>
        <w:r w:rsidR="0093467F">
          <w:rPr>
            <w:noProof/>
          </w:rPr>
          <w:t>8</w:t>
        </w:r>
        <w:r>
          <w:rPr>
            <w:noProof/>
          </w:rPr>
          <w:fldChar w:fldCharType="end"/>
        </w:r>
      </w:p>
    </w:sdtContent>
  </w:sdt>
  <w:p w14:paraId="3966EF60" w14:textId="77777777" w:rsidR="001F3F37" w:rsidRDefault="001F3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C9A3" w14:textId="77777777" w:rsidR="001848E7" w:rsidRDefault="00184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AA4AE" w14:textId="77777777" w:rsidR="0094133F" w:rsidRDefault="0094133F" w:rsidP="001F3F37">
      <w:pPr>
        <w:spacing w:after="0" w:line="240" w:lineRule="auto"/>
      </w:pPr>
      <w:r>
        <w:separator/>
      </w:r>
    </w:p>
  </w:footnote>
  <w:footnote w:type="continuationSeparator" w:id="0">
    <w:p w14:paraId="2C56C178" w14:textId="77777777" w:rsidR="0094133F" w:rsidRDefault="0094133F" w:rsidP="001F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2982" w14:textId="77777777" w:rsidR="001848E7" w:rsidRDefault="00184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57F1" w14:textId="3A2ECE5F" w:rsidR="001848E7" w:rsidRDefault="00184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2DC0" w14:textId="77777777" w:rsidR="001848E7" w:rsidRDefault="00184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59D3"/>
    <w:multiLevelType w:val="hybridMultilevel"/>
    <w:tmpl w:val="7A64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307BE"/>
    <w:multiLevelType w:val="multilevel"/>
    <w:tmpl w:val="643E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AC441F"/>
    <w:multiLevelType w:val="hybridMultilevel"/>
    <w:tmpl w:val="63AE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103D8"/>
    <w:multiLevelType w:val="hybridMultilevel"/>
    <w:tmpl w:val="63AE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DB"/>
    <w:rsid w:val="00001F70"/>
    <w:rsid w:val="00005534"/>
    <w:rsid w:val="00010C07"/>
    <w:rsid w:val="000141F4"/>
    <w:rsid w:val="00024D09"/>
    <w:rsid w:val="00026C01"/>
    <w:rsid w:val="00030E4A"/>
    <w:rsid w:val="00032893"/>
    <w:rsid w:val="00034482"/>
    <w:rsid w:val="000426BC"/>
    <w:rsid w:val="00053CC5"/>
    <w:rsid w:val="0005556B"/>
    <w:rsid w:val="00055B7B"/>
    <w:rsid w:val="00056C80"/>
    <w:rsid w:val="000608EB"/>
    <w:rsid w:val="00063859"/>
    <w:rsid w:val="00072F2C"/>
    <w:rsid w:val="00072F76"/>
    <w:rsid w:val="000746AB"/>
    <w:rsid w:val="00080A60"/>
    <w:rsid w:val="000855CE"/>
    <w:rsid w:val="000861D8"/>
    <w:rsid w:val="00092C7B"/>
    <w:rsid w:val="000A0182"/>
    <w:rsid w:val="000A1BE9"/>
    <w:rsid w:val="000A4C8F"/>
    <w:rsid w:val="000B0874"/>
    <w:rsid w:val="000B22E0"/>
    <w:rsid w:val="000C6118"/>
    <w:rsid w:val="000E6B02"/>
    <w:rsid w:val="000F3C58"/>
    <w:rsid w:val="000F59D5"/>
    <w:rsid w:val="000F7D10"/>
    <w:rsid w:val="001066F7"/>
    <w:rsid w:val="00110DDB"/>
    <w:rsid w:val="00114FF9"/>
    <w:rsid w:val="00116F44"/>
    <w:rsid w:val="001274FB"/>
    <w:rsid w:val="00133975"/>
    <w:rsid w:val="00133ACA"/>
    <w:rsid w:val="001469F0"/>
    <w:rsid w:val="00147248"/>
    <w:rsid w:val="0015147E"/>
    <w:rsid w:val="00153A29"/>
    <w:rsid w:val="00154F48"/>
    <w:rsid w:val="00163BCC"/>
    <w:rsid w:val="0016430B"/>
    <w:rsid w:val="001800AB"/>
    <w:rsid w:val="001845E8"/>
    <w:rsid w:val="001848E7"/>
    <w:rsid w:val="00184B99"/>
    <w:rsid w:val="00187E7D"/>
    <w:rsid w:val="00190FB0"/>
    <w:rsid w:val="001A78C2"/>
    <w:rsid w:val="001B1070"/>
    <w:rsid w:val="001B2AAB"/>
    <w:rsid w:val="001B4238"/>
    <w:rsid w:val="001B621C"/>
    <w:rsid w:val="001B6923"/>
    <w:rsid w:val="001C06F1"/>
    <w:rsid w:val="001C7B02"/>
    <w:rsid w:val="001D02B1"/>
    <w:rsid w:val="001D40AE"/>
    <w:rsid w:val="001E24BF"/>
    <w:rsid w:val="001E77B7"/>
    <w:rsid w:val="001F071F"/>
    <w:rsid w:val="001F1161"/>
    <w:rsid w:val="001F11E1"/>
    <w:rsid w:val="001F3F37"/>
    <w:rsid w:val="001F50D4"/>
    <w:rsid w:val="001F75EA"/>
    <w:rsid w:val="00201FAE"/>
    <w:rsid w:val="0020633A"/>
    <w:rsid w:val="00206DC5"/>
    <w:rsid w:val="00212AA5"/>
    <w:rsid w:val="0021565F"/>
    <w:rsid w:val="002157C4"/>
    <w:rsid w:val="00227584"/>
    <w:rsid w:val="002319D1"/>
    <w:rsid w:val="00233386"/>
    <w:rsid w:val="00236C93"/>
    <w:rsid w:val="00236EC8"/>
    <w:rsid w:val="002377BD"/>
    <w:rsid w:val="00244AD6"/>
    <w:rsid w:val="00250738"/>
    <w:rsid w:val="00256C8F"/>
    <w:rsid w:val="00260F00"/>
    <w:rsid w:val="0026129A"/>
    <w:rsid w:val="00261E51"/>
    <w:rsid w:val="0026298F"/>
    <w:rsid w:val="00263789"/>
    <w:rsid w:val="00266558"/>
    <w:rsid w:val="00272D1D"/>
    <w:rsid w:val="00275A8D"/>
    <w:rsid w:val="00276334"/>
    <w:rsid w:val="00276757"/>
    <w:rsid w:val="00291005"/>
    <w:rsid w:val="00293874"/>
    <w:rsid w:val="002A07C4"/>
    <w:rsid w:val="002B14C1"/>
    <w:rsid w:val="002B4DA4"/>
    <w:rsid w:val="002B5939"/>
    <w:rsid w:val="002D3A5A"/>
    <w:rsid w:val="002D4448"/>
    <w:rsid w:val="002D53A1"/>
    <w:rsid w:val="002D56AC"/>
    <w:rsid w:val="002D7BB3"/>
    <w:rsid w:val="002E5BB6"/>
    <w:rsid w:val="002F2B8E"/>
    <w:rsid w:val="00300F17"/>
    <w:rsid w:val="003104AD"/>
    <w:rsid w:val="003117EE"/>
    <w:rsid w:val="003152F0"/>
    <w:rsid w:val="00323334"/>
    <w:rsid w:val="00323B5C"/>
    <w:rsid w:val="00332CAE"/>
    <w:rsid w:val="0034235D"/>
    <w:rsid w:val="0034740A"/>
    <w:rsid w:val="003553EF"/>
    <w:rsid w:val="00365E11"/>
    <w:rsid w:val="00371825"/>
    <w:rsid w:val="00371C69"/>
    <w:rsid w:val="00377E6B"/>
    <w:rsid w:val="00391B67"/>
    <w:rsid w:val="003A04ED"/>
    <w:rsid w:val="003A6A08"/>
    <w:rsid w:val="003B26FE"/>
    <w:rsid w:val="003B6EE9"/>
    <w:rsid w:val="003D4E45"/>
    <w:rsid w:val="003E4F47"/>
    <w:rsid w:val="00407B61"/>
    <w:rsid w:val="004105D8"/>
    <w:rsid w:val="00410A91"/>
    <w:rsid w:val="00411A44"/>
    <w:rsid w:val="00412FFC"/>
    <w:rsid w:val="004202D9"/>
    <w:rsid w:val="004230FA"/>
    <w:rsid w:val="00430596"/>
    <w:rsid w:val="004317FC"/>
    <w:rsid w:val="0043261B"/>
    <w:rsid w:val="00433C5E"/>
    <w:rsid w:val="00441718"/>
    <w:rsid w:val="00446E22"/>
    <w:rsid w:val="0044732F"/>
    <w:rsid w:val="00452579"/>
    <w:rsid w:val="00457516"/>
    <w:rsid w:val="004619A1"/>
    <w:rsid w:val="004630B0"/>
    <w:rsid w:val="00464974"/>
    <w:rsid w:val="00470A65"/>
    <w:rsid w:val="004812A2"/>
    <w:rsid w:val="00487D7F"/>
    <w:rsid w:val="00487D8D"/>
    <w:rsid w:val="00490F78"/>
    <w:rsid w:val="00496FF8"/>
    <w:rsid w:val="004A4B38"/>
    <w:rsid w:val="004A588B"/>
    <w:rsid w:val="004A7F34"/>
    <w:rsid w:val="004C213D"/>
    <w:rsid w:val="004C5531"/>
    <w:rsid w:val="004C70ED"/>
    <w:rsid w:val="004D080D"/>
    <w:rsid w:val="004D0E60"/>
    <w:rsid w:val="004D295B"/>
    <w:rsid w:val="004E5761"/>
    <w:rsid w:val="004F6477"/>
    <w:rsid w:val="005009A6"/>
    <w:rsid w:val="00521BF3"/>
    <w:rsid w:val="00526C61"/>
    <w:rsid w:val="00527D65"/>
    <w:rsid w:val="00550AF7"/>
    <w:rsid w:val="00565E53"/>
    <w:rsid w:val="00570E87"/>
    <w:rsid w:val="00580A27"/>
    <w:rsid w:val="00591E88"/>
    <w:rsid w:val="00592DB8"/>
    <w:rsid w:val="005A4262"/>
    <w:rsid w:val="005A645E"/>
    <w:rsid w:val="005A7482"/>
    <w:rsid w:val="005B08E0"/>
    <w:rsid w:val="005B3680"/>
    <w:rsid w:val="005B4D39"/>
    <w:rsid w:val="005B6D82"/>
    <w:rsid w:val="005C4B81"/>
    <w:rsid w:val="005C5CA6"/>
    <w:rsid w:val="005C71CB"/>
    <w:rsid w:val="005C7D43"/>
    <w:rsid w:val="005D1F00"/>
    <w:rsid w:val="005D237F"/>
    <w:rsid w:val="005D23CA"/>
    <w:rsid w:val="005D32B9"/>
    <w:rsid w:val="005D47DE"/>
    <w:rsid w:val="005D6FDD"/>
    <w:rsid w:val="005E0FF9"/>
    <w:rsid w:val="005F28AB"/>
    <w:rsid w:val="005F5633"/>
    <w:rsid w:val="005F77CD"/>
    <w:rsid w:val="00601870"/>
    <w:rsid w:val="006030A2"/>
    <w:rsid w:val="00604D56"/>
    <w:rsid w:val="0060784D"/>
    <w:rsid w:val="0062783E"/>
    <w:rsid w:val="00643991"/>
    <w:rsid w:val="006509CF"/>
    <w:rsid w:val="00651A3D"/>
    <w:rsid w:val="00652135"/>
    <w:rsid w:val="00652F5A"/>
    <w:rsid w:val="006575D9"/>
    <w:rsid w:val="00662005"/>
    <w:rsid w:val="006643D4"/>
    <w:rsid w:val="006728F3"/>
    <w:rsid w:val="00682485"/>
    <w:rsid w:val="00683D13"/>
    <w:rsid w:val="006B26A7"/>
    <w:rsid w:val="006B41CD"/>
    <w:rsid w:val="006B474F"/>
    <w:rsid w:val="006C26F3"/>
    <w:rsid w:val="006D1629"/>
    <w:rsid w:val="006D23DF"/>
    <w:rsid w:val="006D2B5E"/>
    <w:rsid w:val="006D2C2F"/>
    <w:rsid w:val="006E7158"/>
    <w:rsid w:val="006E796E"/>
    <w:rsid w:val="006F193C"/>
    <w:rsid w:val="006F2088"/>
    <w:rsid w:val="006F7489"/>
    <w:rsid w:val="0070318C"/>
    <w:rsid w:val="00704313"/>
    <w:rsid w:val="00707423"/>
    <w:rsid w:val="007136C7"/>
    <w:rsid w:val="00714A49"/>
    <w:rsid w:val="0071713F"/>
    <w:rsid w:val="00720A20"/>
    <w:rsid w:val="00731C4E"/>
    <w:rsid w:val="0073322E"/>
    <w:rsid w:val="0073424E"/>
    <w:rsid w:val="00736D32"/>
    <w:rsid w:val="00742699"/>
    <w:rsid w:val="00753007"/>
    <w:rsid w:val="00753332"/>
    <w:rsid w:val="00766EE5"/>
    <w:rsid w:val="00772512"/>
    <w:rsid w:val="007769DE"/>
    <w:rsid w:val="00781837"/>
    <w:rsid w:val="00781EB5"/>
    <w:rsid w:val="00782167"/>
    <w:rsid w:val="0079125F"/>
    <w:rsid w:val="00795805"/>
    <w:rsid w:val="00795C35"/>
    <w:rsid w:val="007A11EF"/>
    <w:rsid w:val="007A622E"/>
    <w:rsid w:val="007B2589"/>
    <w:rsid w:val="007C4DCE"/>
    <w:rsid w:val="007D5ECF"/>
    <w:rsid w:val="007D7A93"/>
    <w:rsid w:val="007E4821"/>
    <w:rsid w:val="007E6B9E"/>
    <w:rsid w:val="007F76B1"/>
    <w:rsid w:val="00801566"/>
    <w:rsid w:val="00803200"/>
    <w:rsid w:val="0080526B"/>
    <w:rsid w:val="00814B2B"/>
    <w:rsid w:val="0083572F"/>
    <w:rsid w:val="00837A7F"/>
    <w:rsid w:val="00843FDB"/>
    <w:rsid w:val="00846C1A"/>
    <w:rsid w:val="0085163F"/>
    <w:rsid w:val="00851C38"/>
    <w:rsid w:val="00856041"/>
    <w:rsid w:val="00856AB3"/>
    <w:rsid w:val="00860C11"/>
    <w:rsid w:val="00861E92"/>
    <w:rsid w:val="00885190"/>
    <w:rsid w:val="0089156D"/>
    <w:rsid w:val="00891CAE"/>
    <w:rsid w:val="00891F15"/>
    <w:rsid w:val="00893883"/>
    <w:rsid w:val="008A1ACA"/>
    <w:rsid w:val="008A630B"/>
    <w:rsid w:val="008A6F30"/>
    <w:rsid w:val="008B0F11"/>
    <w:rsid w:val="008B1EE1"/>
    <w:rsid w:val="008B4E8E"/>
    <w:rsid w:val="008B6D94"/>
    <w:rsid w:val="008C24D9"/>
    <w:rsid w:val="008C6123"/>
    <w:rsid w:val="008C7E95"/>
    <w:rsid w:val="008D0573"/>
    <w:rsid w:val="008D2EB4"/>
    <w:rsid w:val="008D51EC"/>
    <w:rsid w:val="008D6185"/>
    <w:rsid w:val="008F721E"/>
    <w:rsid w:val="00900C01"/>
    <w:rsid w:val="00904170"/>
    <w:rsid w:val="00911DBF"/>
    <w:rsid w:val="00920837"/>
    <w:rsid w:val="00920E3B"/>
    <w:rsid w:val="009271E3"/>
    <w:rsid w:val="009325DC"/>
    <w:rsid w:val="00932604"/>
    <w:rsid w:val="0093467F"/>
    <w:rsid w:val="0094133F"/>
    <w:rsid w:val="00946D68"/>
    <w:rsid w:val="00952481"/>
    <w:rsid w:val="0096753B"/>
    <w:rsid w:val="009739AD"/>
    <w:rsid w:val="009742DF"/>
    <w:rsid w:val="00974EBB"/>
    <w:rsid w:val="00993165"/>
    <w:rsid w:val="009947AA"/>
    <w:rsid w:val="009965C3"/>
    <w:rsid w:val="009A0A7A"/>
    <w:rsid w:val="009B08F0"/>
    <w:rsid w:val="009B2370"/>
    <w:rsid w:val="009B5C85"/>
    <w:rsid w:val="009D0D57"/>
    <w:rsid w:val="009D0E15"/>
    <w:rsid w:val="00A05406"/>
    <w:rsid w:val="00A25F36"/>
    <w:rsid w:val="00A33A39"/>
    <w:rsid w:val="00A3542F"/>
    <w:rsid w:val="00A423C8"/>
    <w:rsid w:val="00A445AE"/>
    <w:rsid w:val="00A57D76"/>
    <w:rsid w:val="00A6262E"/>
    <w:rsid w:val="00A672ED"/>
    <w:rsid w:val="00A714A9"/>
    <w:rsid w:val="00A7406A"/>
    <w:rsid w:val="00A8033F"/>
    <w:rsid w:val="00A82067"/>
    <w:rsid w:val="00A85C89"/>
    <w:rsid w:val="00A866DA"/>
    <w:rsid w:val="00A941EF"/>
    <w:rsid w:val="00AA49C6"/>
    <w:rsid w:val="00AB03E4"/>
    <w:rsid w:val="00AC5FB9"/>
    <w:rsid w:val="00AC64DF"/>
    <w:rsid w:val="00AC7843"/>
    <w:rsid w:val="00AE063D"/>
    <w:rsid w:val="00AE34D3"/>
    <w:rsid w:val="00AE777B"/>
    <w:rsid w:val="00AF0D37"/>
    <w:rsid w:val="00AF520A"/>
    <w:rsid w:val="00B00556"/>
    <w:rsid w:val="00B06236"/>
    <w:rsid w:val="00B2056E"/>
    <w:rsid w:val="00B25693"/>
    <w:rsid w:val="00B3019D"/>
    <w:rsid w:val="00B400F8"/>
    <w:rsid w:val="00B407DB"/>
    <w:rsid w:val="00B42A5C"/>
    <w:rsid w:val="00B463CE"/>
    <w:rsid w:val="00B5328D"/>
    <w:rsid w:val="00B56DAE"/>
    <w:rsid w:val="00B61514"/>
    <w:rsid w:val="00B8349B"/>
    <w:rsid w:val="00B93946"/>
    <w:rsid w:val="00B94846"/>
    <w:rsid w:val="00B96DC5"/>
    <w:rsid w:val="00BA1A33"/>
    <w:rsid w:val="00BA24B9"/>
    <w:rsid w:val="00BA42FB"/>
    <w:rsid w:val="00BB35BF"/>
    <w:rsid w:val="00BC369F"/>
    <w:rsid w:val="00BC38CE"/>
    <w:rsid w:val="00BD3282"/>
    <w:rsid w:val="00BD55E6"/>
    <w:rsid w:val="00BD579A"/>
    <w:rsid w:val="00BD70E8"/>
    <w:rsid w:val="00BD7CB1"/>
    <w:rsid w:val="00BE4421"/>
    <w:rsid w:val="00C01366"/>
    <w:rsid w:val="00C115C4"/>
    <w:rsid w:val="00C120FE"/>
    <w:rsid w:val="00C214B8"/>
    <w:rsid w:val="00C217B5"/>
    <w:rsid w:val="00C2235C"/>
    <w:rsid w:val="00C322BC"/>
    <w:rsid w:val="00C4182B"/>
    <w:rsid w:val="00C41F79"/>
    <w:rsid w:val="00C431DA"/>
    <w:rsid w:val="00C46353"/>
    <w:rsid w:val="00C50D61"/>
    <w:rsid w:val="00C5377D"/>
    <w:rsid w:val="00C57160"/>
    <w:rsid w:val="00C674D4"/>
    <w:rsid w:val="00C73CD0"/>
    <w:rsid w:val="00C839C3"/>
    <w:rsid w:val="00C84190"/>
    <w:rsid w:val="00C93DB7"/>
    <w:rsid w:val="00CA19A6"/>
    <w:rsid w:val="00CA1BC5"/>
    <w:rsid w:val="00CB5A63"/>
    <w:rsid w:val="00CC11D9"/>
    <w:rsid w:val="00CC340D"/>
    <w:rsid w:val="00CC5041"/>
    <w:rsid w:val="00CC5FD1"/>
    <w:rsid w:val="00CD123D"/>
    <w:rsid w:val="00CD2988"/>
    <w:rsid w:val="00CD39CF"/>
    <w:rsid w:val="00CD6F7D"/>
    <w:rsid w:val="00CD7ADC"/>
    <w:rsid w:val="00CF2066"/>
    <w:rsid w:val="00CF6BAC"/>
    <w:rsid w:val="00CF70CE"/>
    <w:rsid w:val="00D03F8D"/>
    <w:rsid w:val="00D2620F"/>
    <w:rsid w:val="00D279C3"/>
    <w:rsid w:val="00D52716"/>
    <w:rsid w:val="00D578C4"/>
    <w:rsid w:val="00D617A3"/>
    <w:rsid w:val="00D630FE"/>
    <w:rsid w:val="00D664C9"/>
    <w:rsid w:val="00D70F1F"/>
    <w:rsid w:val="00D71EE9"/>
    <w:rsid w:val="00D72CF1"/>
    <w:rsid w:val="00D74485"/>
    <w:rsid w:val="00D776F4"/>
    <w:rsid w:val="00D77FF6"/>
    <w:rsid w:val="00D85802"/>
    <w:rsid w:val="00D95947"/>
    <w:rsid w:val="00DA0078"/>
    <w:rsid w:val="00DA6749"/>
    <w:rsid w:val="00DB3FA2"/>
    <w:rsid w:val="00DB5359"/>
    <w:rsid w:val="00DB62C2"/>
    <w:rsid w:val="00DC3BD9"/>
    <w:rsid w:val="00DC4884"/>
    <w:rsid w:val="00DC5830"/>
    <w:rsid w:val="00DC6B4F"/>
    <w:rsid w:val="00DE5F74"/>
    <w:rsid w:val="00DF0370"/>
    <w:rsid w:val="00DF0494"/>
    <w:rsid w:val="00DF12DF"/>
    <w:rsid w:val="00E12280"/>
    <w:rsid w:val="00E1305D"/>
    <w:rsid w:val="00E1375B"/>
    <w:rsid w:val="00E236E7"/>
    <w:rsid w:val="00E23911"/>
    <w:rsid w:val="00E24DEA"/>
    <w:rsid w:val="00E311E7"/>
    <w:rsid w:val="00E31709"/>
    <w:rsid w:val="00E323BF"/>
    <w:rsid w:val="00E575AA"/>
    <w:rsid w:val="00E750DC"/>
    <w:rsid w:val="00E80FA0"/>
    <w:rsid w:val="00E849D3"/>
    <w:rsid w:val="00E87B09"/>
    <w:rsid w:val="00E90936"/>
    <w:rsid w:val="00E94A6B"/>
    <w:rsid w:val="00E95445"/>
    <w:rsid w:val="00E96CAA"/>
    <w:rsid w:val="00E97006"/>
    <w:rsid w:val="00E97A4E"/>
    <w:rsid w:val="00EA35BE"/>
    <w:rsid w:val="00EB0A3E"/>
    <w:rsid w:val="00EB42C3"/>
    <w:rsid w:val="00ED3D33"/>
    <w:rsid w:val="00ED440A"/>
    <w:rsid w:val="00EE085A"/>
    <w:rsid w:val="00EE2B25"/>
    <w:rsid w:val="00F07904"/>
    <w:rsid w:val="00F40C7B"/>
    <w:rsid w:val="00F410A1"/>
    <w:rsid w:val="00F52196"/>
    <w:rsid w:val="00F540EE"/>
    <w:rsid w:val="00F54D49"/>
    <w:rsid w:val="00F56B0D"/>
    <w:rsid w:val="00F770BA"/>
    <w:rsid w:val="00F9289A"/>
    <w:rsid w:val="00F94A40"/>
    <w:rsid w:val="00FA4382"/>
    <w:rsid w:val="00FA4FF3"/>
    <w:rsid w:val="00FA5376"/>
    <w:rsid w:val="00FC7547"/>
    <w:rsid w:val="00FC7567"/>
    <w:rsid w:val="00FE3C80"/>
    <w:rsid w:val="00FF1570"/>
    <w:rsid w:val="00FF1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3CA767"/>
  <w15:docId w15:val="{F457ABFC-7237-41AD-ACDC-E691F6BE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2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4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2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3FDB"/>
  </w:style>
  <w:style w:type="character" w:styleId="Hyperlink">
    <w:name w:val="Hyperlink"/>
    <w:basedOn w:val="DefaultParagraphFont"/>
    <w:uiPriority w:val="99"/>
    <w:semiHidden/>
    <w:unhideWhenUsed/>
    <w:rsid w:val="00843FDB"/>
    <w:rPr>
      <w:color w:val="0000FF"/>
      <w:u w:val="single"/>
    </w:rPr>
  </w:style>
  <w:style w:type="character" w:styleId="CommentReference">
    <w:name w:val="annotation reference"/>
    <w:basedOn w:val="DefaultParagraphFont"/>
    <w:uiPriority w:val="99"/>
    <w:semiHidden/>
    <w:unhideWhenUsed/>
    <w:rsid w:val="00EE085A"/>
    <w:rPr>
      <w:sz w:val="16"/>
      <w:szCs w:val="16"/>
    </w:rPr>
  </w:style>
  <w:style w:type="paragraph" w:styleId="CommentText">
    <w:name w:val="annotation text"/>
    <w:basedOn w:val="Normal"/>
    <w:link w:val="CommentTextChar"/>
    <w:uiPriority w:val="99"/>
    <w:unhideWhenUsed/>
    <w:rsid w:val="00EE085A"/>
    <w:pPr>
      <w:spacing w:line="240" w:lineRule="auto"/>
    </w:pPr>
    <w:rPr>
      <w:sz w:val="20"/>
      <w:szCs w:val="20"/>
    </w:rPr>
  </w:style>
  <w:style w:type="character" w:customStyle="1" w:styleId="CommentTextChar">
    <w:name w:val="Comment Text Char"/>
    <w:basedOn w:val="DefaultParagraphFont"/>
    <w:link w:val="CommentText"/>
    <w:uiPriority w:val="99"/>
    <w:rsid w:val="00EE085A"/>
    <w:rPr>
      <w:sz w:val="20"/>
      <w:szCs w:val="20"/>
    </w:rPr>
  </w:style>
  <w:style w:type="paragraph" w:styleId="CommentSubject">
    <w:name w:val="annotation subject"/>
    <w:basedOn w:val="CommentText"/>
    <w:next w:val="CommentText"/>
    <w:link w:val="CommentSubjectChar"/>
    <w:uiPriority w:val="99"/>
    <w:semiHidden/>
    <w:unhideWhenUsed/>
    <w:rsid w:val="00EE085A"/>
    <w:rPr>
      <w:b/>
      <w:bCs/>
    </w:rPr>
  </w:style>
  <w:style w:type="character" w:customStyle="1" w:styleId="CommentSubjectChar">
    <w:name w:val="Comment Subject Char"/>
    <w:basedOn w:val="CommentTextChar"/>
    <w:link w:val="CommentSubject"/>
    <w:uiPriority w:val="99"/>
    <w:semiHidden/>
    <w:rsid w:val="00EE085A"/>
    <w:rPr>
      <w:b/>
      <w:bCs/>
      <w:sz w:val="20"/>
      <w:szCs w:val="20"/>
    </w:rPr>
  </w:style>
  <w:style w:type="paragraph" w:styleId="BalloonText">
    <w:name w:val="Balloon Text"/>
    <w:basedOn w:val="Normal"/>
    <w:link w:val="BalloonTextChar"/>
    <w:uiPriority w:val="99"/>
    <w:semiHidden/>
    <w:unhideWhenUsed/>
    <w:rsid w:val="00EE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5A"/>
    <w:rPr>
      <w:rFonts w:ascii="Tahoma" w:hAnsi="Tahoma" w:cs="Tahoma"/>
      <w:sz w:val="16"/>
      <w:szCs w:val="16"/>
    </w:rPr>
  </w:style>
  <w:style w:type="character" w:styleId="PlaceholderText">
    <w:name w:val="Placeholder Text"/>
    <w:basedOn w:val="DefaultParagraphFont"/>
    <w:uiPriority w:val="99"/>
    <w:semiHidden/>
    <w:rsid w:val="00B96DC5"/>
    <w:rPr>
      <w:color w:val="808080"/>
    </w:rPr>
  </w:style>
  <w:style w:type="character" w:customStyle="1" w:styleId="Heading1Char">
    <w:name w:val="Heading 1 Char"/>
    <w:basedOn w:val="DefaultParagraphFont"/>
    <w:link w:val="Heading1"/>
    <w:uiPriority w:val="9"/>
    <w:rsid w:val="008C24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24D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F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37"/>
  </w:style>
  <w:style w:type="paragraph" w:styleId="Footer">
    <w:name w:val="footer"/>
    <w:basedOn w:val="Normal"/>
    <w:link w:val="FooterChar"/>
    <w:uiPriority w:val="99"/>
    <w:unhideWhenUsed/>
    <w:rsid w:val="001F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37"/>
  </w:style>
  <w:style w:type="paragraph" w:styleId="ListParagraph">
    <w:name w:val="List Paragraph"/>
    <w:basedOn w:val="Normal"/>
    <w:uiPriority w:val="34"/>
    <w:qFormat/>
    <w:rsid w:val="006F7489"/>
    <w:pPr>
      <w:spacing w:after="0" w:line="240" w:lineRule="auto"/>
      <w:ind w:left="720"/>
      <w:contextualSpacing/>
    </w:pPr>
    <w:rPr>
      <w:rFonts w:eastAsiaTheme="minorHAnsi"/>
      <w:lang w:eastAsia="en-US"/>
    </w:rPr>
  </w:style>
  <w:style w:type="paragraph" w:styleId="Bibliography">
    <w:name w:val="Bibliography"/>
    <w:basedOn w:val="Normal"/>
    <w:next w:val="Normal"/>
    <w:uiPriority w:val="37"/>
    <w:unhideWhenUsed/>
    <w:rsid w:val="00ED440A"/>
    <w:pPr>
      <w:tabs>
        <w:tab w:val="left" w:pos="384"/>
      </w:tabs>
      <w:spacing w:after="240" w:line="240" w:lineRule="auto"/>
      <w:ind w:left="384" w:hanging="384"/>
    </w:pPr>
  </w:style>
  <w:style w:type="character" w:customStyle="1" w:styleId="selectable">
    <w:name w:val="selectable"/>
    <w:basedOn w:val="DefaultParagraphFont"/>
    <w:rsid w:val="0031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4899">
      <w:bodyDiv w:val="1"/>
      <w:marLeft w:val="0"/>
      <w:marRight w:val="0"/>
      <w:marTop w:val="0"/>
      <w:marBottom w:val="0"/>
      <w:divBdr>
        <w:top w:val="none" w:sz="0" w:space="0" w:color="auto"/>
        <w:left w:val="none" w:sz="0" w:space="0" w:color="auto"/>
        <w:bottom w:val="none" w:sz="0" w:space="0" w:color="auto"/>
        <w:right w:val="none" w:sz="0" w:space="0" w:color="auto"/>
      </w:divBdr>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991062153">
      <w:bodyDiv w:val="1"/>
      <w:marLeft w:val="0"/>
      <w:marRight w:val="0"/>
      <w:marTop w:val="0"/>
      <w:marBottom w:val="0"/>
      <w:divBdr>
        <w:top w:val="none" w:sz="0" w:space="0" w:color="auto"/>
        <w:left w:val="none" w:sz="0" w:space="0" w:color="auto"/>
        <w:bottom w:val="none" w:sz="0" w:space="0" w:color="auto"/>
        <w:right w:val="none" w:sz="0" w:space="0" w:color="auto"/>
      </w:divBdr>
    </w:div>
    <w:div w:id="1165628034">
      <w:bodyDiv w:val="1"/>
      <w:marLeft w:val="0"/>
      <w:marRight w:val="0"/>
      <w:marTop w:val="0"/>
      <w:marBottom w:val="0"/>
      <w:divBdr>
        <w:top w:val="none" w:sz="0" w:space="0" w:color="auto"/>
        <w:left w:val="none" w:sz="0" w:space="0" w:color="auto"/>
        <w:bottom w:val="none" w:sz="0" w:space="0" w:color="auto"/>
        <w:right w:val="none" w:sz="0" w:space="0" w:color="auto"/>
      </w:divBdr>
    </w:div>
    <w:div w:id="1207912770">
      <w:bodyDiv w:val="1"/>
      <w:marLeft w:val="0"/>
      <w:marRight w:val="0"/>
      <w:marTop w:val="0"/>
      <w:marBottom w:val="0"/>
      <w:divBdr>
        <w:top w:val="none" w:sz="0" w:space="0" w:color="auto"/>
        <w:left w:val="none" w:sz="0" w:space="0" w:color="auto"/>
        <w:bottom w:val="none" w:sz="0" w:space="0" w:color="auto"/>
        <w:right w:val="none" w:sz="0" w:space="0" w:color="auto"/>
      </w:divBdr>
    </w:div>
    <w:div w:id="1247573579">
      <w:bodyDiv w:val="1"/>
      <w:marLeft w:val="0"/>
      <w:marRight w:val="0"/>
      <w:marTop w:val="0"/>
      <w:marBottom w:val="0"/>
      <w:divBdr>
        <w:top w:val="none" w:sz="0" w:space="0" w:color="auto"/>
        <w:left w:val="none" w:sz="0" w:space="0" w:color="auto"/>
        <w:bottom w:val="none" w:sz="0" w:space="0" w:color="auto"/>
        <w:right w:val="none" w:sz="0" w:space="0" w:color="auto"/>
      </w:divBdr>
    </w:div>
    <w:div w:id="1307736734">
      <w:bodyDiv w:val="1"/>
      <w:marLeft w:val="0"/>
      <w:marRight w:val="0"/>
      <w:marTop w:val="0"/>
      <w:marBottom w:val="0"/>
      <w:divBdr>
        <w:top w:val="none" w:sz="0" w:space="0" w:color="auto"/>
        <w:left w:val="none" w:sz="0" w:space="0" w:color="auto"/>
        <w:bottom w:val="none" w:sz="0" w:space="0" w:color="auto"/>
        <w:right w:val="none" w:sz="0" w:space="0" w:color="auto"/>
      </w:divBdr>
    </w:div>
    <w:div w:id="1482232952">
      <w:bodyDiv w:val="1"/>
      <w:marLeft w:val="0"/>
      <w:marRight w:val="0"/>
      <w:marTop w:val="0"/>
      <w:marBottom w:val="0"/>
      <w:divBdr>
        <w:top w:val="none" w:sz="0" w:space="0" w:color="auto"/>
        <w:left w:val="none" w:sz="0" w:space="0" w:color="auto"/>
        <w:bottom w:val="none" w:sz="0" w:space="0" w:color="auto"/>
        <w:right w:val="none" w:sz="0" w:space="0" w:color="auto"/>
      </w:divBdr>
    </w:div>
    <w:div w:id="1484613895">
      <w:bodyDiv w:val="1"/>
      <w:marLeft w:val="0"/>
      <w:marRight w:val="0"/>
      <w:marTop w:val="0"/>
      <w:marBottom w:val="0"/>
      <w:divBdr>
        <w:top w:val="none" w:sz="0" w:space="0" w:color="auto"/>
        <w:left w:val="none" w:sz="0" w:space="0" w:color="auto"/>
        <w:bottom w:val="none" w:sz="0" w:space="0" w:color="auto"/>
        <w:right w:val="none" w:sz="0" w:space="0" w:color="auto"/>
      </w:divBdr>
    </w:div>
    <w:div w:id="1923759549">
      <w:bodyDiv w:val="1"/>
      <w:marLeft w:val="0"/>
      <w:marRight w:val="0"/>
      <w:marTop w:val="0"/>
      <w:marBottom w:val="0"/>
      <w:divBdr>
        <w:top w:val="none" w:sz="0" w:space="0" w:color="auto"/>
        <w:left w:val="none" w:sz="0" w:space="0" w:color="auto"/>
        <w:bottom w:val="none" w:sz="0" w:space="0" w:color="auto"/>
        <w:right w:val="none" w:sz="0" w:space="0" w:color="auto"/>
      </w:divBdr>
    </w:div>
    <w:div w:id="2043431297">
      <w:bodyDiv w:val="1"/>
      <w:marLeft w:val="0"/>
      <w:marRight w:val="0"/>
      <w:marTop w:val="0"/>
      <w:marBottom w:val="0"/>
      <w:divBdr>
        <w:top w:val="none" w:sz="0" w:space="0" w:color="auto"/>
        <w:left w:val="none" w:sz="0" w:space="0" w:color="auto"/>
        <w:bottom w:val="none" w:sz="0" w:space="0" w:color="auto"/>
        <w:right w:val="none" w:sz="0" w:space="0" w:color="auto"/>
      </w:divBdr>
    </w:div>
    <w:div w:id="208957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if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74BF-E479-49A9-83F4-92B0BA18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10031</Words>
  <Characters>57180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 Hamavid</dc:creator>
  <cp:lastModifiedBy>Abby Chapin</cp:lastModifiedBy>
  <cp:revision>3</cp:revision>
  <dcterms:created xsi:type="dcterms:W3CDTF">2016-06-12T05:21:00Z</dcterms:created>
  <dcterms:modified xsi:type="dcterms:W3CDTF">2016-06-12T05:23:00Z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id="kXIJPmxw"/&gt;&lt;style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