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34" w:rsidRPr="002F4E8E" w:rsidRDefault="00B70634" w:rsidP="00B70634">
      <w:pPr>
        <w:rPr>
          <w:color w:val="auto"/>
        </w:rPr>
      </w:pPr>
      <w:r w:rsidRPr="002F4E8E">
        <w:rPr>
          <w:color w:val="auto"/>
        </w:rPr>
        <w:t xml:space="preserve">Table </w:t>
      </w:r>
      <w:r>
        <w:rPr>
          <w:rFonts w:hint="eastAsia"/>
          <w:color w:val="auto"/>
        </w:rPr>
        <w:t>S</w:t>
      </w:r>
      <w:r w:rsidRPr="002F4E8E">
        <w:rPr>
          <w:color w:val="auto"/>
        </w:rPr>
        <w:t>1. Combined effects of prenatal antibiotic exposure and parental history of allergic diseases on the development of atopic dermatitis</w:t>
      </w:r>
      <w:r>
        <w:rPr>
          <w:rFonts w:hint="eastAsia"/>
          <w:color w:val="auto"/>
        </w:rPr>
        <w:t xml:space="preserve"> (AD)</w:t>
      </w:r>
      <w:r>
        <w:rPr>
          <w:color w:val="auto"/>
        </w:rPr>
        <w:t xml:space="preserve"> at 1 year of age</w:t>
      </w:r>
    </w:p>
    <w:tbl>
      <w:tblPr>
        <w:tblOverlap w:val="never"/>
        <w:tblW w:w="0" w:type="auto"/>
        <w:tblInd w:w="108" w:type="dxa"/>
        <w:tblBorders>
          <w:top w:val="single" w:sz="12" w:space="0" w:color="0A0000"/>
          <w:bottom w:val="single" w:sz="2" w:space="0" w:color="0A0000"/>
        </w:tblBorders>
        <w:tblLook w:val="0000"/>
      </w:tblPr>
      <w:tblGrid>
        <w:gridCol w:w="2694"/>
        <w:gridCol w:w="1275"/>
        <w:gridCol w:w="1560"/>
        <w:gridCol w:w="992"/>
        <w:gridCol w:w="1559"/>
        <w:gridCol w:w="992"/>
      </w:tblGrid>
      <w:tr w:rsidR="00B70634" w:rsidRPr="001011A3" w:rsidTr="001E3CA4">
        <w:trPr>
          <w:trHeight w:val="929"/>
        </w:trPr>
        <w:tc>
          <w:tcPr>
            <w:tcW w:w="2694" w:type="dxa"/>
            <w:tcBorders>
              <w:top w:val="single" w:sz="12" w:space="0" w:color="0A0000"/>
              <w:bottom w:val="single" w:sz="2" w:space="0" w:color="0A0000"/>
            </w:tcBorders>
            <w:vAlign w:val="center"/>
          </w:tcPr>
          <w:p w:rsidR="00B70634" w:rsidRPr="001011A3" w:rsidRDefault="00B70634" w:rsidP="001E3CA4">
            <w:pPr>
              <w:spacing w:before="0" w:line="240" w:lineRule="auto"/>
              <w:jc w:val="left"/>
              <w:rPr>
                <w:b/>
                <w:color w:val="auto"/>
                <w:sz w:val="18"/>
                <w:szCs w:val="18"/>
              </w:rPr>
            </w:pPr>
            <w:r w:rsidRPr="001011A3">
              <w:rPr>
                <w:b/>
                <w:color w:val="auto"/>
                <w:sz w:val="18"/>
                <w:szCs w:val="18"/>
              </w:rPr>
              <w:t>Parental history of allergic diseases/Prenatal exposure to antibiotics (PEA)</w:t>
            </w:r>
            <w:r w:rsidRPr="001011A3">
              <w:rPr>
                <w:rFonts w:ascii="굴림" w:eastAsia="굴림" w:hAnsi="굴림" w:cs="굴림" w:hint="eastAsia"/>
                <w:b/>
                <w:color w:val="auto"/>
                <w:sz w:val="18"/>
                <w:szCs w:val="18"/>
                <w:vertAlign w:val="superscript"/>
              </w:rPr>
              <w:t>†</w:t>
            </w:r>
          </w:p>
        </w:tc>
        <w:tc>
          <w:tcPr>
            <w:tcW w:w="1275" w:type="dxa"/>
            <w:tcBorders>
              <w:top w:val="single" w:sz="12" w:space="0" w:color="0A0000"/>
              <w:bottom w:val="single" w:sz="2" w:space="0" w:color="0A0000"/>
            </w:tcBorders>
            <w:vAlign w:val="center"/>
          </w:tcPr>
          <w:p w:rsidR="00B70634" w:rsidRPr="001011A3" w:rsidRDefault="00B70634" w:rsidP="001E3CA4">
            <w:pPr>
              <w:spacing w:before="0" w:line="240" w:lineRule="auto"/>
              <w:jc w:val="center"/>
              <w:rPr>
                <w:b/>
                <w:color w:val="auto"/>
                <w:sz w:val="18"/>
                <w:szCs w:val="18"/>
              </w:rPr>
            </w:pPr>
            <w:r>
              <w:rPr>
                <w:rFonts w:hint="eastAsia"/>
                <w:b/>
                <w:color w:val="auto"/>
                <w:sz w:val="18"/>
                <w:szCs w:val="18"/>
              </w:rPr>
              <w:t xml:space="preserve">Number </w:t>
            </w:r>
            <w:r w:rsidRPr="001011A3">
              <w:rPr>
                <w:rFonts w:hint="eastAsia"/>
                <w:b/>
                <w:color w:val="auto"/>
                <w:sz w:val="18"/>
                <w:szCs w:val="18"/>
              </w:rPr>
              <w:t>(%) of AD</w:t>
            </w:r>
          </w:p>
        </w:tc>
        <w:tc>
          <w:tcPr>
            <w:tcW w:w="1560" w:type="dxa"/>
            <w:tcBorders>
              <w:top w:val="single" w:sz="12" w:space="0" w:color="0A0000"/>
              <w:bottom w:val="single" w:sz="2" w:space="0" w:color="0A0000"/>
            </w:tcBorders>
            <w:vAlign w:val="center"/>
          </w:tcPr>
          <w:p w:rsidR="00B70634" w:rsidRPr="001011A3" w:rsidRDefault="00B70634" w:rsidP="001E3CA4">
            <w:pPr>
              <w:spacing w:before="0" w:line="240" w:lineRule="auto"/>
              <w:jc w:val="center"/>
              <w:rPr>
                <w:b/>
                <w:color w:val="auto"/>
                <w:sz w:val="18"/>
                <w:szCs w:val="18"/>
              </w:rPr>
            </w:pPr>
            <w:r w:rsidRPr="001011A3">
              <w:rPr>
                <w:b/>
                <w:color w:val="auto"/>
                <w:sz w:val="18"/>
                <w:szCs w:val="18"/>
              </w:rPr>
              <w:t>OR (95% CI)</w:t>
            </w:r>
          </w:p>
        </w:tc>
        <w:tc>
          <w:tcPr>
            <w:tcW w:w="992" w:type="dxa"/>
            <w:tcBorders>
              <w:top w:val="single" w:sz="12" w:space="0" w:color="0A0000"/>
              <w:bottom w:val="single" w:sz="2" w:space="0" w:color="0A0000"/>
            </w:tcBorders>
            <w:vAlign w:val="center"/>
          </w:tcPr>
          <w:p w:rsidR="00B70634" w:rsidRPr="001011A3" w:rsidRDefault="00B70634" w:rsidP="001E3CA4">
            <w:pPr>
              <w:spacing w:before="0" w:line="240" w:lineRule="auto"/>
              <w:jc w:val="center"/>
              <w:rPr>
                <w:b/>
                <w:color w:val="auto"/>
                <w:sz w:val="18"/>
                <w:szCs w:val="18"/>
              </w:rPr>
            </w:pPr>
            <w:r w:rsidRPr="001011A3">
              <w:rPr>
                <w:b/>
                <w:color w:val="auto"/>
                <w:sz w:val="18"/>
                <w:szCs w:val="18"/>
              </w:rPr>
              <w:t>p-value</w:t>
            </w:r>
          </w:p>
        </w:tc>
        <w:tc>
          <w:tcPr>
            <w:tcW w:w="1559" w:type="dxa"/>
            <w:tcBorders>
              <w:top w:val="single" w:sz="12" w:space="0" w:color="0A0000"/>
              <w:bottom w:val="single" w:sz="2" w:space="0" w:color="0A0000"/>
            </w:tcBorders>
            <w:vAlign w:val="center"/>
          </w:tcPr>
          <w:p w:rsidR="00B70634" w:rsidRPr="001011A3" w:rsidRDefault="00B70634" w:rsidP="001E3CA4">
            <w:pPr>
              <w:spacing w:before="0" w:line="240" w:lineRule="auto"/>
              <w:jc w:val="center"/>
              <w:rPr>
                <w:b/>
                <w:color w:val="auto"/>
                <w:sz w:val="18"/>
                <w:szCs w:val="18"/>
              </w:rPr>
            </w:pPr>
            <w:proofErr w:type="spellStart"/>
            <w:r w:rsidRPr="001011A3">
              <w:rPr>
                <w:rFonts w:hint="eastAsia"/>
                <w:b/>
                <w:color w:val="auto"/>
                <w:sz w:val="18"/>
                <w:szCs w:val="18"/>
              </w:rPr>
              <w:t>a</w:t>
            </w:r>
            <w:r w:rsidRPr="001011A3">
              <w:rPr>
                <w:b/>
                <w:color w:val="auto"/>
                <w:sz w:val="18"/>
                <w:szCs w:val="18"/>
              </w:rPr>
              <w:t>OR</w:t>
            </w:r>
            <w:proofErr w:type="spellEnd"/>
            <w:r w:rsidRPr="001011A3">
              <w:rPr>
                <w:rFonts w:hint="eastAsia"/>
                <w:b/>
                <w:color w:val="auto"/>
                <w:sz w:val="18"/>
                <w:szCs w:val="18"/>
              </w:rPr>
              <w:t xml:space="preserve"> </w:t>
            </w:r>
            <w:r w:rsidRPr="001011A3">
              <w:rPr>
                <w:b/>
                <w:color w:val="auto"/>
                <w:sz w:val="18"/>
                <w:szCs w:val="18"/>
              </w:rPr>
              <w:t>(95% CI)*</w:t>
            </w:r>
          </w:p>
        </w:tc>
        <w:tc>
          <w:tcPr>
            <w:tcW w:w="992" w:type="dxa"/>
            <w:tcBorders>
              <w:top w:val="single" w:sz="12" w:space="0" w:color="0A0000"/>
              <w:bottom w:val="single" w:sz="2" w:space="0" w:color="0A0000"/>
            </w:tcBorders>
            <w:vAlign w:val="center"/>
          </w:tcPr>
          <w:p w:rsidR="00B70634" w:rsidRPr="001011A3" w:rsidRDefault="00B70634" w:rsidP="001E3CA4">
            <w:pPr>
              <w:spacing w:before="0" w:line="240" w:lineRule="auto"/>
              <w:jc w:val="center"/>
              <w:rPr>
                <w:b/>
                <w:color w:val="auto"/>
                <w:sz w:val="18"/>
                <w:szCs w:val="18"/>
              </w:rPr>
            </w:pPr>
            <w:r w:rsidRPr="001011A3">
              <w:rPr>
                <w:b/>
                <w:color w:val="auto"/>
                <w:sz w:val="18"/>
                <w:szCs w:val="18"/>
              </w:rPr>
              <w:t>p-value</w:t>
            </w:r>
          </w:p>
        </w:tc>
      </w:tr>
      <w:tr w:rsidR="00B70634" w:rsidRPr="001011A3" w:rsidTr="001E3CA4">
        <w:trPr>
          <w:trHeight w:val="417"/>
        </w:trPr>
        <w:tc>
          <w:tcPr>
            <w:tcW w:w="2694" w:type="dxa"/>
            <w:tcBorders>
              <w:top w:val="single" w:sz="2" w:space="0" w:color="0A0000"/>
            </w:tcBorders>
            <w:vAlign w:val="center"/>
          </w:tcPr>
          <w:p w:rsidR="00B70634" w:rsidRPr="001011A3" w:rsidRDefault="00B70634" w:rsidP="001E3CA4">
            <w:pPr>
              <w:spacing w:before="0" w:line="240" w:lineRule="auto"/>
              <w:jc w:val="left"/>
              <w:rPr>
                <w:color w:val="auto"/>
                <w:sz w:val="18"/>
                <w:szCs w:val="18"/>
              </w:rPr>
            </w:pPr>
            <w:r w:rsidRPr="001011A3">
              <w:rPr>
                <w:color w:val="auto"/>
                <w:sz w:val="18"/>
                <w:szCs w:val="18"/>
              </w:rPr>
              <w:t>Negative parental history/Negative PEA</w:t>
            </w:r>
          </w:p>
        </w:tc>
        <w:tc>
          <w:tcPr>
            <w:tcW w:w="1275" w:type="dxa"/>
            <w:tcBorders>
              <w:top w:val="single" w:sz="2" w:space="0" w:color="0A0000"/>
            </w:tcBorders>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39 (22.2)</w:t>
            </w:r>
          </w:p>
        </w:tc>
        <w:tc>
          <w:tcPr>
            <w:tcW w:w="1560" w:type="dxa"/>
            <w:tcBorders>
              <w:top w:val="single" w:sz="2" w:space="0" w:color="0A0000"/>
            </w:tcBorders>
            <w:vAlign w:val="center"/>
          </w:tcPr>
          <w:p w:rsidR="00B70634" w:rsidRPr="001011A3" w:rsidRDefault="00B70634" w:rsidP="001E3CA4">
            <w:pPr>
              <w:spacing w:before="0" w:line="240" w:lineRule="auto"/>
              <w:jc w:val="center"/>
              <w:rPr>
                <w:color w:val="auto"/>
                <w:sz w:val="18"/>
                <w:szCs w:val="18"/>
              </w:rPr>
            </w:pPr>
            <w:r w:rsidRPr="001011A3">
              <w:rPr>
                <w:rFonts w:hint="eastAsia"/>
                <w:color w:val="auto"/>
                <w:sz w:val="18"/>
                <w:szCs w:val="18"/>
              </w:rPr>
              <w:t>1.00</w:t>
            </w:r>
          </w:p>
        </w:tc>
        <w:tc>
          <w:tcPr>
            <w:tcW w:w="992" w:type="dxa"/>
            <w:tcBorders>
              <w:top w:val="single" w:sz="2" w:space="0" w:color="0A0000"/>
            </w:tcBorders>
            <w:vAlign w:val="center"/>
          </w:tcPr>
          <w:p w:rsidR="00B70634" w:rsidRPr="001011A3" w:rsidRDefault="00B70634" w:rsidP="001E3CA4">
            <w:pPr>
              <w:spacing w:before="0" w:line="240" w:lineRule="auto"/>
              <w:jc w:val="center"/>
              <w:rPr>
                <w:color w:val="auto"/>
                <w:sz w:val="18"/>
                <w:szCs w:val="18"/>
              </w:rPr>
            </w:pPr>
          </w:p>
        </w:tc>
        <w:tc>
          <w:tcPr>
            <w:tcW w:w="1559" w:type="dxa"/>
            <w:tcBorders>
              <w:top w:val="single" w:sz="2" w:space="0" w:color="0A0000"/>
            </w:tcBorders>
            <w:vAlign w:val="center"/>
          </w:tcPr>
          <w:p w:rsidR="00B70634" w:rsidRPr="001011A3" w:rsidRDefault="00B70634" w:rsidP="001E3CA4">
            <w:pPr>
              <w:spacing w:before="0" w:line="240" w:lineRule="auto"/>
              <w:jc w:val="center"/>
              <w:rPr>
                <w:color w:val="auto"/>
                <w:sz w:val="18"/>
                <w:szCs w:val="18"/>
              </w:rPr>
            </w:pPr>
            <w:r w:rsidRPr="001011A3">
              <w:rPr>
                <w:rFonts w:hint="eastAsia"/>
                <w:color w:val="auto"/>
                <w:sz w:val="18"/>
                <w:szCs w:val="18"/>
              </w:rPr>
              <w:t>1.00</w:t>
            </w:r>
          </w:p>
        </w:tc>
        <w:tc>
          <w:tcPr>
            <w:tcW w:w="992" w:type="dxa"/>
            <w:tcBorders>
              <w:top w:val="single" w:sz="2" w:space="0" w:color="0A0000"/>
            </w:tcBorders>
            <w:vAlign w:val="center"/>
          </w:tcPr>
          <w:p w:rsidR="00B70634" w:rsidRPr="001011A3" w:rsidRDefault="00B70634" w:rsidP="001E3CA4">
            <w:pPr>
              <w:spacing w:before="0" w:line="240" w:lineRule="auto"/>
              <w:jc w:val="center"/>
              <w:rPr>
                <w:color w:val="auto"/>
                <w:sz w:val="18"/>
                <w:szCs w:val="18"/>
              </w:rPr>
            </w:pPr>
          </w:p>
        </w:tc>
      </w:tr>
      <w:tr w:rsidR="00B70634" w:rsidRPr="001011A3" w:rsidTr="001E3CA4">
        <w:trPr>
          <w:trHeight w:val="417"/>
        </w:trPr>
        <w:tc>
          <w:tcPr>
            <w:tcW w:w="2694" w:type="dxa"/>
            <w:vAlign w:val="center"/>
          </w:tcPr>
          <w:p w:rsidR="00B70634" w:rsidRPr="001011A3" w:rsidRDefault="00B70634" w:rsidP="001E3CA4">
            <w:pPr>
              <w:spacing w:before="0" w:line="240" w:lineRule="auto"/>
              <w:jc w:val="left"/>
              <w:rPr>
                <w:color w:val="auto"/>
                <w:sz w:val="18"/>
                <w:szCs w:val="18"/>
              </w:rPr>
            </w:pPr>
            <w:r w:rsidRPr="001011A3">
              <w:rPr>
                <w:color w:val="auto"/>
                <w:sz w:val="18"/>
                <w:szCs w:val="18"/>
              </w:rPr>
              <w:t>Negative parental history/Positive PEA</w:t>
            </w:r>
          </w:p>
        </w:tc>
        <w:tc>
          <w:tcPr>
            <w:tcW w:w="1275" w:type="dxa"/>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6 (42.9)</w:t>
            </w:r>
          </w:p>
        </w:tc>
        <w:tc>
          <w:tcPr>
            <w:tcW w:w="1560" w:type="dxa"/>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2.64</w:t>
            </w:r>
            <w:r w:rsidRPr="001011A3">
              <w:rPr>
                <w:rFonts w:hint="eastAsia"/>
                <w:color w:val="auto"/>
                <w:sz w:val="18"/>
                <w:szCs w:val="18"/>
              </w:rPr>
              <w:t xml:space="preserve"> </w:t>
            </w:r>
            <w:r w:rsidRPr="001011A3">
              <w:rPr>
                <w:color w:val="auto"/>
                <w:sz w:val="18"/>
                <w:szCs w:val="18"/>
              </w:rPr>
              <w:t>(0.86</w:t>
            </w:r>
            <w:r w:rsidRPr="001011A3">
              <w:rPr>
                <w:rFonts w:ascii="ÇÑÄÄ¹ÙÅÁ" w:hAnsi="ÇÑÄÄ¹ÙÅÁ" w:cs="ÇÑÄÄ¹ÙÅÁ"/>
                <w:color w:val="auto"/>
                <w:sz w:val="18"/>
                <w:szCs w:val="18"/>
              </w:rPr>
              <w:t>–</w:t>
            </w:r>
            <w:r w:rsidRPr="001011A3">
              <w:rPr>
                <w:color w:val="auto"/>
                <w:sz w:val="18"/>
                <w:szCs w:val="18"/>
              </w:rPr>
              <w:t>8.05)</w:t>
            </w:r>
          </w:p>
        </w:tc>
        <w:tc>
          <w:tcPr>
            <w:tcW w:w="992" w:type="dxa"/>
            <w:vAlign w:val="center"/>
          </w:tcPr>
          <w:p w:rsidR="00B70634" w:rsidRPr="001011A3" w:rsidRDefault="00B70634" w:rsidP="001E3CA4">
            <w:pPr>
              <w:spacing w:before="0" w:line="240" w:lineRule="auto"/>
              <w:jc w:val="center"/>
              <w:rPr>
                <w:color w:val="auto"/>
                <w:sz w:val="18"/>
                <w:szCs w:val="18"/>
              </w:rPr>
            </w:pPr>
            <w:r w:rsidRPr="001011A3">
              <w:rPr>
                <w:rFonts w:hint="eastAsia"/>
                <w:color w:val="auto"/>
                <w:sz w:val="18"/>
                <w:szCs w:val="18"/>
              </w:rPr>
              <w:t>0.09</w:t>
            </w:r>
          </w:p>
        </w:tc>
        <w:tc>
          <w:tcPr>
            <w:tcW w:w="1559" w:type="dxa"/>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2.73</w:t>
            </w:r>
            <w:r w:rsidRPr="001011A3">
              <w:rPr>
                <w:rFonts w:hint="eastAsia"/>
                <w:color w:val="auto"/>
                <w:sz w:val="18"/>
                <w:szCs w:val="18"/>
              </w:rPr>
              <w:t xml:space="preserve"> </w:t>
            </w:r>
            <w:r w:rsidRPr="001011A3">
              <w:rPr>
                <w:color w:val="auto"/>
                <w:sz w:val="18"/>
                <w:szCs w:val="18"/>
              </w:rPr>
              <w:t>(0.80</w:t>
            </w:r>
            <w:r w:rsidRPr="001011A3">
              <w:rPr>
                <w:rFonts w:ascii="ÇÑÄÄ¹ÙÅÁ" w:hAnsi="ÇÑÄÄ¹ÙÅÁ" w:cs="ÇÑÄÄ¹ÙÅÁ"/>
                <w:color w:val="auto"/>
                <w:sz w:val="18"/>
                <w:szCs w:val="18"/>
              </w:rPr>
              <w:t>–</w:t>
            </w:r>
            <w:r w:rsidRPr="001011A3">
              <w:rPr>
                <w:color w:val="auto"/>
                <w:sz w:val="18"/>
                <w:szCs w:val="18"/>
              </w:rPr>
              <w:t>9.30)</w:t>
            </w:r>
          </w:p>
        </w:tc>
        <w:tc>
          <w:tcPr>
            <w:tcW w:w="992" w:type="dxa"/>
            <w:vAlign w:val="center"/>
          </w:tcPr>
          <w:p w:rsidR="00B70634" w:rsidRPr="001011A3" w:rsidRDefault="00B70634" w:rsidP="001E3CA4">
            <w:pPr>
              <w:spacing w:before="0" w:line="240" w:lineRule="auto"/>
              <w:jc w:val="center"/>
              <w:rPr>
                <w:color w:val="auto"/>
                <w:sz w:val="18"/>
                <w:szCs w:val="18"/>
              </w:rPr>
            </w:pPr>
            <w:r w:rsidRPr="001011A3">
              <w:rPr>
                <w:rFonts w:hint="eastAsia"/>
                <w:color w:val="auto"/>
                <w:sz w:val="18"/>
                <w:szCs w:val="18"/>
              </w:rPr>
              <w:t>0.11</w:t>
            </w:r>
          </w:p>
        </w:tc>
      </w:tr>
      <w:tr w:rsidR="00B70634" w:rsidRPr="001011A3" w:rsidTr="001E3CA4">
        <w:trPr>
          <w:trHeight w:val="417"/>
        </w:trPr>
        <w:tc>
          <w:tcPr>
            <w:tcW w:w="2694" w:type="dxa"/>
            <w:vAlign w:val="center"/>
          </w:tcPr>
          <w:p w:rsidR="00B70634" w:rsidRPr="001011A3" w:rsidRDefault="00B70634" w:rsidP="001E3CA4">
            <w:pPr>
              <w:spacing w:before="0" w:line="240" w:lineRule="auto"/>
              <w:jc w:val="left"/>
              <w:rPr>
                <w:color w:val="auto"/>
                <w:sz w:val="18"/>
                <w:szCs w:val="18"/>
              </w:rPr>
            </w:pPr>
            <w:r w:rsidRPr="001011A3">
              <w:rPr>
                <w:color w:val="auto"/>
                <w:sz w:val="18"/>
                <w:szCs w:val="18"/>
              </w:rPr>
              <w:t>Positive parental history/Negative PEA</w:t>
            </w:r>
          </w:p>
        </w:tc>
        <w:tc>
          <w:tcPr>
            <w:tcW w:w="1275" w:type="dxa"/>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49 (32.5)</w:t>
            </w:r>
          </w:p>
        </w:tc>
        <w:tc>
          <w:tcPr>
            <w:tcW w:w="1560" w:type="dxa"/>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1.69</w:t>
            </w:r>
            <w:r w:rsidRPr="001011A3">
              <w:rPr>
                <w:rFonts w:hint="eastAsia"/>
                <w:color w:val="auto"/>
                <w:sz w:val="18"/>
                <w:szCs w:val="18"/>
              </w:rPr>
              <w:t xml:space="preserve"> </w:t>
            </w:r>
            <w:r w:rsidRPr="001011A3">
              <w:rPr>
                <w:color w:val="auto"/>
                <w:sz w:val="18"/>
                <w:szCs w:val="18"/>
              </w:rPr>
              <w:t>(1.03</w:t>
            </w:r>
            <w:r w:rsidRPr="001011A3">
              <w:rPr>
                <w:rFonts w:ascii="ÇÑÄÄ¹ÙÅÁ" w:hAnsi="ÇÑÄÄ¹ÙÅÁ" w:cs="ÇÑÄÄ¹ÙÅÁ"/>
                <w:color w:val="auto"/>
                <w:sz w:val="18"/>
                <w:szCs w:val="18"/>
              </w:rPr>
              <w:t>–</w:t>
            </w:r>
            <w:r w:rsidRPr="001011A3">
              <w:rPr>
                <w:color w:val="auto"/>
                <w:sz w:val="18"/>
                <w:szCs w:val="18"/>
              </w:rPr>
              <w:t>2.76)</w:t>
            </w:r>
          </w:p>
        </w:tc>
        <w:tc>
          <w:tcPr>
            <w:tcW w:w="992" w:type="dxa"/>
            <w:vAlign w:val="center"/>
          </w:tcPr>
          <w:p w:rsidR="00B70634" w:rsidRPr="001011A3" w:rsidRDefault="00B70634" w:rsidP="001E3CA4">
            <w:pPr>
              <w:spacing w:before="0" w:line="240" w:lineRule="auto"/>
              <w:jc w:val="center"/>
              <w:rPr>
                <w:color w:val="auto"/>
                <w:sz w:val="18"/>
                <w:szCs w:val="18"/>
              </w:rPr>
            </w:pPr>
            <w:r w:rsidRPr="001011A3">
              <w:rPr>
                <w:rFonts w:hint="eastAsia"/>
                <w:color w:val="auto"/>
                <w:sz w:val="18"/>
                <w:szCs w:val="18"/>
              </w:rPr>
              <w:t>0.04</w:t>
            </w:r>
          </w:p>
        </w:tc>
        <w:tc>
          <w:tcPr>
            <w:tcW w:w="1559" w:type="dxa"/>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1.58</w:t>
            </w:r>
            <w:r w:rsidRPr="001011A3">
              <w:rPr>
                <w:rFonts w:hint="eastAsia"/>
                <w:color w:val="auto"/>
                <w:sz w:val="18"/>
                <w:szCs w:val="18"/>
              </w:rPr>
              <w:t xml:space="preserve"> </w:t>
            </w:r>
            <w:r w:rsidRPr="001011A3">
              <w:rPr>
                <w:color w:val="auto"/>
                <w:sz w:val="18"/>
                <w:szCs w:val="18"/>
              </w:rPr>
              <w:t>(0.88</w:t>
            </w:r>
            <w:r w:rsidRPr="001011A3">
              <w:rPr>
                <w:rFonts w:ascii="ÇÑÄÄ¹ÙÅÁ" w:hAnsi="ÇÑÄÄ¹ÙÅÁ" w:cs="ÇÑÄÄ¹ÙÅÁ"/>
                <w:color w:val="auto"/>
                <w:sz w:val="18"/>
                <w:szCs w:val="18"/>
              </w:rPr>
              <w:t>–</w:t>
            </w:r>
            <w:r w:rsidRPr="001011A3">
              <w:rPr>
                <w:color w:val="auto"/>
                <w:sz w:val="18"/>
                <w:szCs w:val="18"/>
              </w:rPr>
              <w:t>2.80</w:t>
            </w:r>
            <w:r w:rsidRPr="001011A3">
              <w:rPr>
                <w:rFonts w:hint="eastAsia"/>
                <w:color w:val="auto"/>
                <w:sz w:val="18"/>
                <w:szCs w:val="18"/>
              </w:rPr>
              <w:t>)</w:t>
            </w:r>
          </w:p>
        </w:tc>
        <w:tc>
          <w:tcPr>
            <w:tcW w:w="992" w:type="dxa"/>
            <w:vAlign w:val="center"/>
          </w:tcPr>
          <w:p w:rsidR="00B70634" w:rsidRPr="001011A3" w:rsidRDefault="00B70634" w:rsidP="001E3CA4">
            <w:pPr>
              <w:spacing w:before="0" w:line="240" w:lineRule="auto"/>
              <w:jc w:val="center"/>
              <w:rPr>
                <w:color w:val="auto"/>
                <w:sz w:val="18"/>
                <w:szCs w:val="18"/>
              </w:rPr>
            </w:pPr>
            <w:r w:rsidRPr="001011A3">
              <w:rPr>
                <w:rFonts w:hint="eastAsia"/>
                <w:color w:val="auto"/>
                <w:sz w:val="18"/>
                <w:szCs w:val="18"/>
              </w:rPr>
              <w:t>0.12</w:t>
            </w:r>
          </w:p>
        </w:tc>
      </w:tr>
      <w:tr w:rsidR="00B70634" w:rsidRPr="001011A3" w:rsidTr="001E3CA4">
        <w:trPr>
          <w:trHeight w:val="417"/>
        </w:trPr>
        <w:tc>
          <w:tcPr>
            <w:tcW w:w="2694" w:type="dxa"/>
            <w:vAlign w:val="center"/>
          </w:tcPr>
          <w:p w:rsidR="00B70634" w:rsidRPr="001011A3" w:rsidRDefault="00B70634" w:rsidP="001E3CA4">
            <w:pPr>
              <w:spacing w:before="0" w:line="240" w:lineRule="auto"/>
              <w:jc w:val="left"/>
              <w:rPr>
                <w:color w:val="auto"/>
                <w:sz w:val="18"/>
                <w:szCs w:val="18"/>
              </w:rPr>
            </w:pPr>
            <w:r w:rsidRPr="001011A3">
              <w:rPr>
                <w:color w:val="auto"/>
                <w:sz w:val="18"/>
                <w:szCs w:val="18"/>
              </w:rPr>
              <w:t>Positive parental history</w:t>
            </w:r>
          </w:p>
          <w:p w:rsidR="00B70634" w:rsidRPr="001011A3" w:rsidRDefault="00B70634" w:rsidP="001E3CA4">
            <w:pPr>
              <w:spacing w:before="0" w:line="240" w:lineRule="auto"/>
              <w:jc w:val="left"/>
              <w:rPr>
                <w:color w:val="auto"/>
                <w:sz w:val="18"/>
                <w:szCs w:val="18"/>
              </w:rPr>
            </w:pPr>
            <w:r w:rsidRPr="001011A3">
              <w:rPr>
                <w:color w:val="auto"/>
                <w:sz w:val="18"/>
                <w:szCs w:val="18"/>
              </w:rPr>
              <w:t>/Positive PEA</w:t>
            </w:r>
          </w:p>
        </w:tc>
        <w:tc>
          <w:tcPr>
            <w:tcW w:w="1275" w:type="dxa"/>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9 (40.9)</w:t>
            </w:r>
          </w:p>
        </w:tc>
        <w:tc>
          <w:tcPr>
            <w:tcW w:w="1560" w:type="dxa"/>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2.43</w:t>
            </w:r>
            <w:r w:rsidRPr="001011A3">
              <w:rPr>
                <w:rFonts w:hint="eastAsia"/>
                <w:color w:val="auto"/>
                <w:sz w:val="18"/>
                <w:szCs w:val="18"/>
              </w:rPr>
              <w:t xml:space="preserve"> </w:t>
            </w:r>
            <w:r w:rsidRPr="001011A3">
              <w:rPr>
                <w:color w:val="auto"/>
                <w:sz w:val="18"/>
                <w:szCs w:val="18"/>
              </w:rPr>
              <w:t>(0.97</w:t>
            </w:r>
            <w:r w:rsidRPr="001011A3">
              <w:rPr>
                <w:rFonts w:ascii="ÇÑÄÄ¹ÙÅÁ" w:hAnsi="ÇÑÄÄ¹ÙÅÁ" w:cs="ÇÑÄÄ¹ÙÅÁ"/>
                <w:color w:val="auto"/>
                <w:sz w:val="18"/>
                <w:szCs w:val="18"/>
              </w:rPr>
              <w:t>–</w:t>
            </w:r>
            <w:r w:rsidRPr="001011A3">
              <w:rPr>
                <w:color w:val="auto"/>
                <w:sz w:val="18"/>
                <w:szCs w:val="18"/>
              </w:rPr>
              <w:t>6.11)</w:t>
            </w:r>
          </w:p>
        </w:tc>
        <w:tc>
          <w:tcPr>
            <w:tcW w:w="992" w:type="dxa"/>
            <w:vAlign w:val="center"/>
          </w:tcPr>
          <w:p w:rsidR="00B70634" w:rsidRPr="001011A3" w:rsidRDefault="00B70634" w:rsidP="001E3CA4">
            <w:pPr>
              <w:spacing w:before="0" w:line="240" w:lineRule="auto"/>
              <w:jc w:val="center"/>
              <w:rPr>
                <w:color w:val="auto"/>
                <w:sz w:val="18"/>
                <w:szCs w:val="18"/>
              </w:rPr>
            </w:pPr>
            <w:r w:rsidRPr="001011A3">
              <w:rPr>
                <w:rFonts w:hint="eastAsia"/>
                <w:color w:val="auto"/>
                <w:sz w:val="18"/>
                <w:szCs w:val="18"/>
              </w:rPr>
              <w:t>0.06</w:t>
            </w:r>
          </w:p>
        </w:tc>
        <w:tc>
          <w:tcPr>
            <w:tcW w:w="1559" w:type="dxa"/>
            <w:vAlign w:val="center"/>
          </w:tcPr>
          <w:p w:rsidR="00B70634" w:rsidRPr="001011A3" w:rsidRDefault="00B70634" w:rsidP="001E3CA4">
            <w:pPr>
              <w:spacing w:before="0" w:line="240" w:lineRule="auto"/>
              <w:jc w:val="center"/>
              <w:rPr>
                <w:color w:val="auto"/>
                <w:sz w:val="18"/>
                <w:szCs w:val="18"/>
              </w:rPr>
            </w:pPr>
            <w:r w:rsidRPr="001011A3">
              <w:rPr>
                <w:color w:val="auto"/>
                <w:sz w:val="18"/>
                <w:szCs w:val="18"/>
              </w:rPr>
              <w:t>2.11</w:t>
            </w:r>
            <w:r>
              <w:rPr>
                <w:rFonts w:hint="eastAsia"/>
                <w:color w:val="auto"/>
                <w:sz w:val="18"/>
                <w:szCs w:val="18"/>
              </w:rPr>
              <w:t xml:space="preserve"> </w:t>
            </w:r>
            <w:r w:rsidRPr="001011A3">
              <w:rPr>
                <w:color w:val="auto"/>
                <w:sz w:val="18"/>
                <w:szCs w:val="18"/>
              </w:rPr>
              <w:t>(0.63</w:t>
            </w:r>
            <w:r w:rsidRPr="001011A3">
              <w:rPr>
                <w:rFonts w:ascii="ÇÑÄÄ¹ÙÅÁ" w:hAnsi="ÇÑÄÄ¹ÙÅÁ" w:cs="ÇÑÄÄ¹ÙÅÁ"/>
                <w:color w:val="auto"/>
                <w:sz w:val="18"/>
                <w:szCs w:val="18"/>
              </w:rPr>
              <w:t>–</w:t>
            </w:r>
            <w:r w:rsidRPr="001011A3">
              <w:rPr>
                <w:color w:val="auto"/>
                <w:sz w:val="18"/>
                <w:szCs w:val="18"/>
              </w:rPr>
              <w:t>7.07)</w:t>
            </w:r>
          </w:p>
        </w:tc>
        <w:tc>
          <w:tcPr>
            <w:tcW w:w="992" w:type="dxa"/>
            <w:vAlign w:val="center"/>
          </w:tcPr>
          <w:p w:rsidR="00B70634" w:rsidRPr="001011A3" w:rsidRDefault="00B70634" w:rsidP="001E3CA4">
            <w:pPr>
              <w:spacing w:before="0" w:line="240" w:lineRule="auto"/>
              <w:jc w:val="center"/>
              <w:rPr>
                <w:color w:val="auto"/>
                <w:sz w:val="18"/>
                <w:szCs w:val="18"/>
              </w:rPr>
            </w:pPr>
            <w:r w:rsidRPr="001011A3">
              <w:rPr>
                <w:rFonts w:hint="eastAsia"/>
                <w:color w:val="auto"/>
                <w:sz w:val="18"/>
                <w:szCs w:val="18"/>
              </w:rPr>
              <w:t>0.23</w:t>
            </w:r>
          </w:p>
        </w:tc>
      </w:tr>
    </w:tbl>
    <w:p w:rsidR="00B70634" w:rsidRPr="001011A3" w:rsidRDefault="00B70634" w:rsidP="00B70634">
      <w:pPr>
        <w:rPr>
          <w:color w:val="auto"/>
          <w:sz w:val="16"/>
          <w:szCs w:val="16"/>
        </w:rPr>
      </w:pPr>
      <w:r w:rsidRPr="001011A3">
        <w:rPr>
          <w:color w:val="auto"/>
          <w:sz w:val="16"/>
          <w:szCs w:val="16"/>
        </w:rPr>
        <w:t xml:space="preserve">* Adjusted for gestational age at birth, sex, pre-pregnancy maternal body-mass index, maternal age at delivery, maternal education level, prenatal exposure to smoke, prenatal exposure to pets, and presence of older sibling(s). </w:t>
      </w:r>
    </w:p>
    <w:p w:rsidR="00B70634" w:rsidRPr="001011A3" w:rsidRDefault="00B70634" w:rsidP="00B70634">
      <w:pPr>
        <w:rPr>
          <w:color w:val="auto"/>
          <w:sz w:val="16"/>
          <w:szCs w:val="16"/>
        </w:rPr>
      </w:pPr>
      <w:r w:rsidRPr="001011A3">
        <w:rPr>
          <w:rFonts w:ascii="굴림" w:eastAsia="굴림" w:hAnsi="굴림" w:cs="굴림" w:hint="eastAsia"/>
          <w:color w:val="auto"/>
          <w:sz w:val="16"/>
          <w:szCs w:val="16"/>
          <w:vertAlign w:val="superscript"/>
        </w:rPr>
        <w:t>†</w:t>
      </w:r>
      <w:r w:rsidRPr="001011A3">
        <w:rPr>
          <w:color w:val="auto"/>
          <w:sz w:val="16"/>
          <w:szCs w:val="16"/>
        </w:rPr>
        <w:t xml:space="preserve"> PEA, Prenatal exposure to antibiotics </w:t>
      </w:r>
    </w:p>
    <w:p w:rsidR="00B70634" w:rsidRPr="002F4E8E" w:rsidRDefault="00B70634" w:rsidP="00B70634">
      <w:pPr>
        <w:rPr>
          <w:color w:val="auto"/>
        </w:rPr>
      </w:pPr>
    </w:p>
    <w:p w:rsidR="00B70634" w:rsidRPr="002F4E8E" w:rsidRDefault="00B70634" w:rsidP="00B70634">
      <w:pPr>
        <w:rPr>
          <w:color w:val="auto"/>
        </w:rPr>
      </w:pPr>
    </w:p>
    <w:p w:rsidR="00B70634" w:rsidRPr="002F4E8E" w:rsidRDefault="00B70634" w:rsidP="00B70634">
      <w:pPr>
        <w:rPr>
          <w:color w:val="auto"/>
        </w:rPr>
      </w:pPr>
    </w:p>
    <w:p w:rsidR="00B70634" w:rsidRPr="002F4E8E" w:rsidRDefault="00B70634" w:rsidP="00B70634">
      <w:pPr>
        <w:rPr>
          <w:color w:val="auto"/>
        </w:rPr>
      </w:pPr>
    </w:p>
    <w:p w:rsidR="00B70634" w:rsidRPr="002F4E8E" w:rsidRDefault="00B70634" w:rsidP="00B70634">
      <w:pPr>
        <w:rPr>
          <w:color w:val="auto"/>
        </w:rPr>
      </w:pPr>
    </w:p>
    <w:p w:rsidR="00B70634" w:rsidRPr="002F4E8E" w:rsidRDefault="00B70634" w:rsidP="00B70634">
      <w:pPr>
        <w:rPr>
          <w:color w:val="auto"/>
        </w:rPr>
      </w:pPr>
    </w:p>
    <w:p w:rsidR="00B70634" w:rsidRDefault="00B70634" w:rsidP="00B70634">
      <w:pPr>
        <w:rPr>
          <w:color w:val="auto"/>
        </w:rPr>
      </w:pPr>
    </w:p>
    <w:p w:rsidR="00B70634" w:rsidRDefault="00B70634" w:rsidP="00B70634">
      <w:pPr>
        <w:rPr>
          <w:color w:val="auto"/>
        </w:rPr>
      </w:pPr>
    </w:p>
    <w:p w:rsidR="00B70634" w:rsidRDefault="00B70634" w:rsidP="00B70634">
      <w:pPr>
        <w:rPr>
          <w:color w:val="auto"/>
        </w:rPr>
      </w:pPr>
    </w:p>
    <w:p w:rsidR="00B70634" w:rsidRPr="002F4E8E" w:rsidRDefault="00B70634" w:rsidP="00B70634">
      <w:r w:rsidRPr="002F4E8E">
        <w:rPr>
          <w:color w:val="auto"/>
        </w:rPr>
        <w:lastRenderedPageBreak/>
        <w:t xml:space="preserve">Table </w:t>
      </w:r>
      <w:r>
        <w:rPr>
          <w:rFonts w:hint="eastAsia"/>
          <w:color w:val="auto"/>
        </w:rPr>
        <w:t>S</w:t>
      </w:r>
      <w:r w:rsidRPr="002F4E8E">
        <w:rPr>
          <w:color w:val="auto"/>
        </w:rPr>
        <w:t>2. Additive effects</w:t>
      </w:r>
      <w:r w:rsidRPr="002F4E8E">
        <w:t xml:space="preserve"> between IL-13 or CD14 genetic polymorphism, prenatal antibiotic exposure, and delivery mode on the development of atopic dermatitis</w:t>
      </w:r>
      <w:r>
        <w:rPr>
          <w:rFonts w:hint="eastAsia"/>
        </w:rPr>
        <w:t xml:space="preserve"> (AD)</w:t>
      </w:r>
      <w:r w:rsidRPr="002F4E8E">
        <w:t xml:space="preserve"> </w:t>
      </w:r>
      <w:r>
        <w:rPr>
          <w:color w:val="auto"/>
        </w:rPr>
        <w:t>at 1 year of age</w:t>
      </w:r>
    </w:p>
    <w:tbl>
      <w:tblPr>
        <w:tblOverlap w:val="never"/>
        <w:tblW w:w="9050" w:type="dxa"/>
        <w:tblInd w:w="108" w:type="dxa"/>
        <w:tblBorders>
          <w:top w:val="single" w:sz="12" w:space="0" w:color="0A0000"/>
          <w:bottom w:val="single" w:sz="2" w:space="0" w:color="0A0000"/>
        </w:tblBorders>
        <w:tblLook w:val="0000"/>
      </w:tblPr>
      <w:tblGrid>
        <w:gridCol w:w="1985"/>
        <w:gridCol w:w="1276"/>
        <w:gridCol w:w="1842"/>
        <w:gridCol w:w="993"/>
        <w:gridCol w:w="1984"/>
        <w:gridCol w:w="970"/>
      </w:tblGrid>
      <w:tr w:rsidR="00B70634" w:rsidRPr="00D94C32" w:rsidTr="001E3CA4">
        <w:trPr>
          <w:trHeight w:val="531"/>
        </w:trPr>
        <w:tc>
          <w:tcPr>
            <w:tcW w:w="1985" w:type="dxa"/>
            <w:tcBorders>
              <w:top w:val="single" w:sz="12" w:space="0" w:color="0A0000"/>
              <w:bottom w:val="single" w:sz="2" w:space="0" w:color="0A0000"/>
            </w:tcBorders>
            <w:vAlign w:val="center"/>
          </w:tcPr>
          <w:p w:rsidR="00B70634" w:rsidRPr="00D94C32" w:rsidRDefault="00B70634" w:rsidP="001E3CA4">
            <w:pPr>
              <w:spacing w:before="0" w:line="240" w:lineRule="auto"/>
              <w:jc w:val="left"/>
              <w:rPr>
                <w:sz w:val="18"/>
                <w:szCs w:val="18"/>
              </w:rPr>
            </w:pPr>
            <w:r>
              <w:rPr>
                <w:rFonts w:hint="eastAsia"/>
                <w:b/>
                <w:color w:val="auto"/>
                <w:sz w:val="18"/>
                <w:szCs w:val="18"/>
              </w:rPr>
              <w:t>Number</w:t>
            </w:r>
            <w:r w:rsidRPr="00D94C32">
              <w:rPr>
                <w:rFonts w:hint="eastAsia"/>
                <w:b/>
                <w:color w:val="auto"/>
                <w:sz w:val="18"/>
                <w:szCs w:val="18"/>
              </w:rPr>
              <w:t xml:space="preserve"> of risk factors</w:t>
            </w:r>
            <w:r w:rsidRPr="00D94C32">
              <w:rPr>
                <w:rFonts w:ascii="굴림" w:eastAsia="굴림" w:hAnsi="굴림" w:cs="굴림" w:hint="eastAsia"/>
                <w:b/>
                <w:color w:val="auto"/>
                <w:sz w:val="18"/>
                <w:szCs w:val="18"/>
                <w:vertAlign w:val="superscript"/>
              </w:rPr>
              <w:t>†</w:t>
            </w:r>
          </w:p>
        </w:tc>
        <w:tc>
          <w:tcPr>
            <w:tcW w:w="1276" w:type="dxa"/>
            <w:tcBorders>
              <w:top w:val="single" w:sz="12" w:space="0" w:color="0A0000"/>
              <w:bottom w:val="single" w:sz="2" w:space="0" w:color="0A0000"/>
            </w:tcBorders>
            <w:vAlign w:val="center"/>
          </w:tcPr>
          <w:p w:rsidR="00B70634" w:rsidRPr="00D94C32" w:rsidRDefault="00B70634" w:rsidP="001E3CA4">
            <w:pPr>
              <w:spacing w:before="0" w:line="240" w:lineRule="auto"/>
              <w:jc w:val="center"/>
              <w:rPr>
                <w:b/>
                <w:color w:val="auto"/>
                <w:sz w:val="18"/>
                <w:szCs w:val="18"/>
              </w:rPr>
            </w:pPr>
            <w:r>
              <w:rPr>
                <w:rFonts w:hint="eastAsia"/>
                <w:b/>
                <w:color w:val="auto"/>
                <w:sz w:val="18"/>
                <w:szCs w:val="18"/>
              </w:rPr>
              <w:t>Number</w:t>
            </w:r>
            <w:r w:rsidRPr="00D94C32">
              <w:rPr>
                <w:rFonts w:hint="eastAsia"/>
                <w:b/>
                <w:color w:val="auto"/>
                <w:sz w:val="18"/>
                <w:szCs w:val="18"/>
              </w:rPr>
              <w:t xml:space="preserve"> (%) of AD</w:t>
            </w:r>
          </w:p>
        </w:tc>
        <w:tc>
          <w:tcPr>
            <w:tcW w:w="1842" w:type="dxa"/>
            <w:tcBorders>
              <w:top w:val="single" w:sz="12" w:space="0" w:color="0A0000"/>
              <w:bottom w:val="single" w:sz="2" w:space="0" w:color="0A0000"/>
            </w:tcBorders>
            <w:vAlign w:val="center"/>
          </w:tcPr>
          <w:p w:rsidR="00B70634" w:rsidRPr="00D94C32" w:rsidRDefault="00B70634" w:rsidP="001E3CA4">
            <w:pPr>
              <w:spacing w:before="0" w:line="240" w:lineRule="auto"/>
              <w:jc w:val="center"/>
              <w:rPr>
                <w:b/>
                <w:color w:val="auto"/>
                <w:sz w:val="18"/>
                <w:szCs w:val="18"/>
              </w:rPr>
            </w:pPr>
            <w:r w:rsidRPr="00D94C32">
              <w:rPr>
                <w:b/>
                <w:color w:val="auto"/>
                <w:sz w:val="18"/>
                <w:szCs w:val="18"/>
              </w:rPr>
              <w:t>OR (95% CI)</w:t>
            </w:r>
          </w:p>
        </w:tc>
        <w:tc>
          <w:tcPr>
            <w:tcW w:w="993" w:type="dxa"/>
            <w:tcBorders>
              <w:top w:val="single" w:sz="12" w:space="0" w:color="0A0000"/>
              <w:bottom w:val="single" w:sz="2" w:space="0" w:color="0A0000"/>
            </w:tcBorders>
            <w:vAlign w:val="center"/>
          </w:tcPr>
          <w:p w:rsidR="00B70634" w:rsidRPr="00D94C32" w:rsidRDefault="00B70634" w:rsidP="001E3CA4">
            <w:pPr>
              <w:spacing w:before="0" w:line="240" w:lineRule="auto"/>
              <w:jc w:val="center"/>
              <w:rPr>
                <w:b/>
                <w:color w:val="auto"/>
                <w:sz w:val="18"/>
                <w:szCs w:val="18"/>
              </w:rPr>
            </w:pPr>
            <w:r w:rsidRPr="00D94C32">
              <w:rPr>
                <w:b/>
                <w:color w:val="auto"/>
                <w:sz w:val="18"/>
                <w:szCs w:val="18"/>
              </w:rPr>
              <w:t>p-value</w:t>
            </w:r>
          </w:p>
        </w:tc>
        <w:tc>
          <w:tcPr>
            <w:tcW w:w="1984" w:type="dxa"/>
            <w:tcBorders>
              <w:top w:val="single" w:sz="12" w:space="0" w:color="0A0000"/>
              <w:bottom w:val="single" w:sz="2" w:space="0" w:color="0A0000"/>
            </w:tcBorders>
            <w:vAlign w:val="center"/>
          </w:tcPr>
          <w:p w:rsidR="00B70634" w:rsidRPr="00D94C32" w:rsidRDefault="00B70634" w:rsidP="001E3CA4">
            <w:pPr>
              <w:spacing w:before="0" w:line="240" w:lineRule="auto"/>
              <w:jc w:val="center"/>
              <w:rPr>
                <w:b/>
                <w:color w:val="auto"/>
                <w:sz w:val="18"/>
                <w:szCs w:val="18"/>
              </w:rPr>
            </w:pPr>
            <w:proofErr w:type="spellStart"/>
            <w:r w:rsidRPr="00D94C32">
              <w:rPr>
                <w:rFonts w:hint="eastAsia"/>
                <w:b/>
                <w:color w:val="auto"/>
                <w:sz w:val="18"/>
                <w:szCs w:val="18"/>
              </w:rPr>
              <w:t>a</w:t>
            </w:r>
            <w:r w:rsidRPr="00D94C32">
              <w:rPr>
                <w:b/>
                <w:color w:val="auto"/>
                <w:sz w:val="18"/>
                <w:szCs w:val="18"/>
              </w:rPr>
              <w:t>OR</w:t>
            </w:r>
            <w:proofErr w:type="spellEnd"/>
            <w:r w:rsidRPr="00D94C32">
              <w:rPr>
                <w:rFonts w:hint="eastAsia"/>
                <w:b/>
                <w:color w:val="auto"/>
                <w:sz w:val="18"/>
                <w:szCs w:val="18"/>
              </w:rPr>
              <w:t xml:space="preserve"> </w:t>
            </w:r>
            <w:r w:rsidRPr="00D94C32">
              <w:rPr>
                <w:b/>
                <w:color w:val="auto"/>
                <w:sz w:val="18"/>
                <w:szCs w:val="18"/>
              </w:rPr>
              <w:t>(95% CI)*</w:t>
            </w:r>
          </w:p>
        </w:tc>
        <w:tc>
          <w:tcPr>
            <w:tcW w:w="970" w:type="dxa"/>
            <w:tcBorders>
              <w:top w:val="single" w:sz="12" w:space="0" w:color="0A0000"/>
              <w:bottom w:val="single" w:sz="2" w:space="0" w:color="0A0000"/>
            </w:tcBorders>
            <w:vAlign w:val="center"/>
          </w:tcPr>
          <w:p w:rsidR="00B70634" w:rsidRPr="00D94C32" w:rsidRDefault="00B70634" w:rsidP="001E3CA4">
            <w:pPr>
              <w:spacing w:before="0" w:line="240" w:lineRule="auto"/>
              <w:jc w:val="center"/>
              <w:rPr>
                <w:b/>
                <w:color w:val="auto"/>
                <w:sz w:val="18"/>
                <w:szCs w:val="18"/>
              </w:rPr>
            </w:pPr>
            <w:r w:rsidRPr="00D94C32">
              <w:rPr>
                <w:b/>
                <w:color w:val="auto"/>
                <w:sz w:val="18"/>
                <w:szCs w:val="18"/>
              </w:rPr>
              <w:t>p-value</w:t>
            </w:r>
          </w:p>
        </w:tc>
      </w:tr>
      <w:tr w:rsidR="00B70634" w:rsidRPr="00D94C32" w:rsidTr="001E3CA4">
        <w:trPr>
          <w:trHeight w:val="387"/>
        </w:trPr>
        <w:tc>
          <w:tcPr>
            <w:tcW w:w="1985" w:type="dxa"/>
            <w:tcBorders>
              <w:top w:val="single" w:sz="2" w:space="0" w:color="0A0000"/>
              <w:bottom w:val="single" w:sz="2" w:space="0" w:color="0A0000"/>
            </w:tcBorders>
            <w:vAlign w:val="center"/>
          </w:tcPr>
          <w:p w:rsidR="00B70634" w:rsidRPr="00D94C32" w:rsidRDefault="00B70634" w:rsidP="001E3CA4">
            <w:pPr>
              <w:spacing w:before="0" w:line="240" w:lineRule="auto"/>
              <w:jc w:val="left"/>
              <w:rPr>
                <w:b/>
                <w:sz w:val="18"/>
                <w:szCs w:val="18"/>
              </w:rPr>
            </w:pPr>
            <w:r w:rsidRPr="00D94C32">
              <w:rPr>
                <w:b/>
                <w:sz w:val="18"/>
                <w:szCs w:val="18"/>
              </w:rPr>
              <w:t>IL-13 rs20541</w:t>
            </w:r>
          </w:p>
        </w:tc>
        <w:tc>
          <w:tcPr>
            <w:tcW w:w="1276"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c>
          <w:tcPr>
            <w:tcW w:w="1842"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c>
          <w:tcPr>
            <w:tcW w:w="993"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c>
          <w:tcPr>
            <w:tcW w:w="1984"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c>
          <w:tcPr>
            <w:tcW w:w="970"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r>
      <w:tr w:rsidR="00B70634" w:rsidRPr="00D94C32" w:rsidTr="001E3CA4">
        <w:trPr>
          <w:trHeight w:val="387"/>
        </w:trPr>
        <w:tc>
          <w:tcPr>
            <w:tcW w:w="1985" w:type="dxa"/>
            <w:tcBorders>
              <w:top w:val="single" w:sz="2" w:space="0" w:color="0A0000"/>
            </w:tcBorders>
            <w:vAlign w:val="center"/>
          </w:tcPr>
          <w:p w:rsidR="00B70634" w:rsidRPr="00D94C32" w:rsidRDefault="00B70634" w:rsidP="001E3CA4">
            <w:pPr>
              <w:spacing w:before="0" w:line="240" w:lineRule="auto"/>
              <w:jc w:val="left"/>
              <w:rPr>
                <w:color w:val="auto"/>
                <w:sz w:val="18"/>
                <w:szCs w:val="18"/>
              </w:rPr>
            </w:pPr>
            <w:r w:rsidRPr="00D94C32">
              <w:rPr>
                <w:color w:val="auto"/>
                <w:sz w:val="18"/>
                <w:szCs w:val="18"/>
              </w:rPr>
              <w:t>Risk (0)</w:t>
            </w:r>
          </w:p>
        </w:tc>
        <w:tc>
          <w:tcPr>
            <w:tcW w:w="1276" w:type="dxa"/>
            <w:tcBorders>
              <w:top w:val="single" w:sz="2" w:space="0" w:color="0A0000"/>
            </w:tcBorders>
            <w:vAlign w:val="center"/>
          </w:tcPr>
          <w:p w:rsidR="00B70634" w:rsidRPr="00D94C32" w:rsidRDefault="00B70634" w:rsidP="001E3CA4">
            <w:pPr>
              <w:spacing w:before="0" w:line="240" w:lineRule="auto"/>
              <w:jc w:val="center"/>
              <w:rPr>
                <w:sz w:val="18"/>
                <w:szCs w:val="18"/>
              </w:rPr>
            </w:pPr>
            <w:r w:rsidRPr="00D94C32">
              <w:rPr>
                <w:sz w:val="18"/>
                <w:szCs w:val="18"/>
              </w:rPr>
              <w:t>11 (19.6)</w:t>
            </w:r>
          </w:p>
        </w:tc>
        <w:tc>
          <w:tcPr>
            <w:tcW w:w="1842" w:type="dxa"/>
            <w:tcBorders>
              <w:top w:val="single" w:sz="2" w:space="0" w:color="0A0000"/>
            </w:tcBorders>
            <w:vAlign w:val="center"/>
          </w:tcPr>
          <w:p w:rsidR="00B70634" w:rsidRPr="00D94C32" w:rsidRDefault="00B70634" w:rsidP="001E3CA4">
            <w:pPr>
              <w:spacing w:before="0" w:line="240" w:lineRule="auto"/>
              <w:jc w:val="center"/>
              <w:rPr>
                <w:sz w:val="18"/>
                <w:szCs w:val="18"/>
              </w:rPr>
            </w:pPr>
            <w:r w:rsidRPr="00D94C32">
              <w:rPr>
                <w:rFonts w:hint="eastAsia"/>
                <w:sz w:val="18"/>
                <w:szCs w:val="18"/>
              </w:rPr>
              <w:t>1.00</w:t>
            </w:r>
          </w:p>
        </w:tc>
        <w:tc>
          <w:tcPr>
            <w:tcW w:w="993" w:type="dxa"/>
            <w:tcBorders>
              <w:top w:val="single" w:sz="2" w:space="0" w:color="0A0000"/>
            </w:tcBorders>
            <w:vAlign w:val="center"/>
          </w:tcPr>
          <w:p w:rsidR="00B70634" w:rsidRPr="00D94C32" w:rsidRDefault="00B70634" w:rsidP="001E3CA4">
            <w:pPr>
              <w:spacing w:before="0" w:line="240" w:lineRule="auto"/>
              <w:jc w:val="center"/>
              <w:rPr>
                <w:sz w:val="18"/>
                <w:szCs w:val="18"/>
              </w:rPr>
            </w:pPr>
          </w:p>
        </w:tc>
        <w:tc>
          <w:tcPr>
            <w:tcW w:w="1984" w:type="dxa"/>
            <w:tcBorders>
              <w:top w:val="single" w:sz="2" w:space="0" w:color="0A0000"/>
            </w:tcBorders>
            <w:vAlign w:val="center"/>
          </w:tcPr>
          <w:p w:rsidR="00B70634" w:rsidRPr="00D94C32" w:rsidRDefault="00B70634" w:rsidP="001E3CA4">
            <w:pPr>
              <w:spacing w:before="0" w:line="240" w:lineRule="auto"/>
              <w:jc w:val="center"/>
              <w:rPr>
                <w:sz w:val="18"/>
                <w:szCs w:val="18"/>
              </w:rPr>
            </w:pPr>
            <w:r w:rsidRPr="00D94C32">
              <w:rPr>
                <w:rFonts w:hint="eastAsia"/>
                <w:sz w:val="18"/>
                <w:szCs w:val="18"/>
              </w:rPr>
              <w:t>1.00</w:t>
            </w:r>
          </w:p>
        </w:tc>
        <w:tc>
          <w:tcPr>
            <w:tcW w:w="970" w:type="dxa"/>
            <w:tcBorders>
              <w:top w:val="single" w:sz="2" w:space="0" w:color="0A0000"/>
            </w:tcBorders>
            <w:vAlign w:val="center"/>
          </w:tcPr>
          <w:p w:rsidR="00B70634" w:rsidRPr="00D94C32" w:rsidRDefault="00B70634" w:rsidP="001E3CA4">
            <w:pPr>
              <w:spacing w:before="0" w:line="240" w:lineRule="auto"/>
              <w:jc w:val="center"/>
              <w:rPr>
                <w:sz w:val="18"/>
                <w:szCs w:val="18"/>
              </w:rPr>
            </w:pPr>
          </w:p>
        </w:tc>
      </w:tr>
      <w:tr w:rsidR="00B70634" w:rsidRPr="00D94C32" w:rsidTr="001E3CA4">
        <w:trPr>
          <w:trHeight w:val="387"/>
        </w:trPr>
        <w:tc>
          <w:tcPr>
            <w:tcW w:w="1985" w:type="dxa"/>
            <w:vAlign w:val="center"/>
          </w:tcPr>
          <w:p w:rsidR="00B70634" w:rsidRPr="00D94C32" w:rsidRDefault="00B70634" w:rsidP="001E3CA4">
            <w:pPr>
              <w:spacing w:before="0" w:line="240" w:lineRule="auto"/>
              <w:jc w:val="left"/>
              <w:rPr>
                <w:color w:val="auto"/>
                <w:sz w:val="18"/>
                <w:szCs w:val="18"/>
              </w:rPr>
            </w:pPr>
            <w:r w:rsidRPr="00D94C32">
              <w:rPr>
                <w:color w:val="auto"/>
                <w:sz w:val="18"/>
                <w:szCs w:val="18"/>
              </w:rPr>
              <w:t>Risk (1)</w:t>
            </w:r>
          </w:p>
        </w:tc>
        <w:tc>
          <w:tcPr>
            <w:tcW w:w="1276" w:type="dxa"/>
            <w:vAlign w:val="center"/>
          </w:tcPr>
          <w:p w:rsidR="00B70634" w:rsidRPr="00D94C32" w:rsidRDefault="00B70634" w:rsidP="001E3CA4">
            <w:pPr>
              <w:spacing w:before="0" w:line="240" w:lineRule="auto"/>
              <w:jc w:val="center"/>
              <w:rPr>
                <w:sz w:val="18"/>
                <w:szCs w:val="18"/>
              </w:rPr>
            </w:pPr>
            <w:r w:rsidRPr="00D94C32">
              <w:rPr>
                <w:sz w:val="18"/>
                <w:szCs w:val="18"/>
              </w:rPr>
              <w:t>35 (30.7)</w:t>
            </w:r>
          </w:p>
        </w:tc>
        <w:tc>
          <w:tcPr>
            <w:tcW w:w="1842" w:type="dxa"/>
            <w:vAlign w:val="center"/>
          </w:tcPr>
          <w:p w:rsidR="00B70634" w:rsidRPr="00D94C32" w:rsidRDefault="00B70634" w:rsidP="001E3CA4">
            <w:pPr>
              <w:spacing w:before="0" w:line="240" w:lineRule="auto"/>
              <w:jc w:val="center"/>
              <w:rPr>
                <w:sz w:val="18"/>
                <w:szCs w:val="18"/>
              </w:rPr>
            </w:pPr>
            <w:r w:rsidRPr="00D94C32">
              <w:rPr>
                <w:sz w:val="18"/>
                <w:szCs w:val="18"/>
              </w:rPr>
              <w:t>1.81</w:t>
            </w:r>
            <w:r w:rsidRPr="00D94C32">
              <w:rPr>
                <w:rFonts w:hint="eastAsia"/>
                <w:sz w:val="18"/>
                <w:szCs w:val="18"/>
              </w:rPr>
              <w:t xml:space="preserve"> </w:t>
            </w:r>
            <w:r w:rsidRPr="00D94C32">
              <w:rPr>
                <w:sz w:val="18"/>
                <w:szCs w:val="18"/>
              </w:rPr>
              <w:t>(0.84</w:t>
            </w:r>
            <w:r w:rsidRPr="00D94C32">
              <w:rPr>
                <w:rFonts w:ascii="ÇÑÄÄ¹ÙÅÁ" w:hAnsi="ÇÑÄÄ¹ÙÅÁ" w:cs="ÇÑÄÄ¹ÙÅÁ"/>
                <w:sz w:val="18"/>
                <w:szCs w:val="18"/>
              </w:rPr>
              <w:t>–</w:t>
            </w:r>
            <w:r w:rsidRPr="00D94C32">
              <w:rPr>
                <w:sz w:val="18"/>
                <w:szCs w:val="18"/>
              </w:rPr>
              <w:t>3.91)</w:t>
            </w:r>
          </w:p>
        </w:tc>
        <w:tc>
          <w:tcPr>
            <w:tcW w:w="993"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0.13</w:t>
            </w:r>
          </w:p>
        </w:tc>
        <w:tc>
          <w:tcPr>
            <w:tcW w:w="1984" w:type="dxa"/>
            <w:vAlign w:val="center"/>
          </w:tcPr>
          <w:p w:rsidR="00B70634" w:rsidRPr="00D94C32" w:rsidRDefault="00B70634" w:rsidP="001E3CA4">
            <w:pPr>
              <w:spacing w:before="0" w:line="240" w:lineRule="auto"/>
              <w:jc w:val="center"/>
              <w:rPr>
                <w:sz w:val="18"/>
                <w:szCs w:val="18"/>
              </w:rPr>
            </w:pPr>
            <w:r w:rsidRPr="00D94C32">
              <w:rPr>
                <w:sz w:val="18"/>
                <w:szCs w:val="18"/>
              </w:rPr>
              <w:t>2.59</w:t>
            </w:r>
            <w:r>
              <w:rPr>
                <w:rFonts w:hint="eastAsia"/>
                <w:sz w:val="18"/>
                <w:szCs w:val="18"/>
              </w:rPr>
              <w:t xml:space="preserve"> </w:t>
            </w:r>
            <w:r w:rsidRPr="00D94C32">
              <w:rPr>
                <w:sz w:val="18"/>
                <w:szCs w:val="18"/>
              </w:rPr>
              <w:t>(1.04</w:t>
            </w:r>
            <w:r w:rsidRPr="00D94C32">
              <w:rPr>
                <w:rFonts w:ascii="ÇÑÄÄ¹ÙÅÁ" w:hAnsi="ÇÑÄÄ¹ÙÅÁ" w:cs="ÇÑÄÄ¹ÙÅÁ"/>
                <w:sz w:val="18"/>
                <w:szCs w:val="18"/>
              </w:rPr>
              <w:t>–</w:t>
            </w:r>
            <w:r w:rsidRPr="00D94C32">
              <w:rPr>
                <w:sz w:val="18"/>
                <w:szCs w:val="18"/>
              </w:rPr>
              <w:t>6.45)</w:t>
            </w:r>
          </w:p>
        </w:tc>
        <w:tc>
          <w:tcPr>
            <w:tcW w:w="970"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0.04</w:t>
            </w:r>
          </w:p>
        </w:tc>
      </w:tr>
      <w:tr w:rsidR="00B70634" w:rsidRPr="00D94C32" w:rsidTr="001E3CA4">
        <w:trPr>
          <w:trHeight w:val="387"/>
        </w:trPr>
        <w:tc>
          <w:tcPr>
            <w:tcW w:w="1985" w:type="dxa"/>
            <w:vAlign w:val="center"/>
          </w:tcPr>
          <w:p w:rsidR="00B70634" w:rsidRPr="00D94C32" w:rsidRDefault="00B70634" w:rsidP="001E3CA4">
            <w:pPr>
              <w:spacing w:before="0" w:line="240" w:lineRule="auto"/>
              <w:jc w:val="left"/>
              <w:rPr>
                <w:color w:val="auto"/>
                <w:sz w:val="18"/>
                <w:szCs w:val="18"/>
              </w:rPr>
            </w:pPr>
            <w:r w:rsidRPr="00D94C32">
              <w:rPr>
                <w:color w:val="auto"/>
                <w:sz w:val="18"/>
                <w:szCs w:val="18"/>
              </w:rPr>
              <w:t>Risk (2)</w:t>
            </w:r>
          </w:p>
        </w:tc>
        <w:tc>
          <w:tcPr>
            <w:tcW w:w="1276" w:type="dxa"/>
            <w:vAlign w:val="center"/>
          </w:tcPr>
          <w:p w:rsidR="00B70634" w:rsidRPr="00D94C32" w:rsidRDefault="00B70634" w:rsidP="001E3CA4">
            <w:pPr>
              <w:spacing w:before="0" w:line="240" w:lineRule="auto"/>
              <w:jc w:val="center"/>
              <w:rPr>
                <w:sz w:val="18"/>
                <w:szCs w:val="18"/>
              </w:rPr>
            </w:pPr>
            <w:r w:rsidRPr="00D94C32">
              <w:rPr>
                <w:sz w:val="18"/>
                <w:szCs w:val="18"/>
              </w:rPr>
              <w:t>13 (39.4)</w:t>
            </w:r>
          </w:p>
        </w:tc>
        <w:tc>
          <w:tcPr>
            <w:tcW w:w="1842" w:type="dxa"/>
            <w:vAlign w:val="center"/>
          </w:tcPr>
          <w:p w:rsidR="00B70634" w:rsidRPr="00D94C32" w:rsidRDefault="00B70634" w:rsidP="001E3CA4">
            <w:pPr>
              <w:spacing w:before="0" w:line="240" w:lineRule="auto"/>
              <w:jc w:val="center"/>
              <w:rPr>
                <w:sz w:val="18"/>
                <w:szCs w:val="18"/>
              </w:rPr>
            </w:pPr>
            <w:r w:rsidRPr="00D94C32">
              <w:rPr>
                <w:sz w:val="18"/>
                <w:szCs w:val="18"/>
              </w:rPr>
              <w:t>2.66</w:t>
            </w:r>
            <w:r w:rsidRPr="00D94C32">
              <w:rPr>
                <w:rFonts w:hint="eastAsia"/>
                <w:sz w:val="18"/>
                <w:szCs w:val="18"/>
              </w:rPr>
              <w:t xml:space="preserve"> </w:t>
            </w:r>
            <w:r w:rsidRPr="00D94C32">
              <w:rPr>
                <w:sz w:val="18"/>
                <w:szCs w:val="18"/>
              </w:rPr>
              <w:t>(1.02</w:t>
            </w:r>
            <w:r w:rsidRPr="00D94C32">
              <w:rPr>
                <w:rFonts w:ascii="ÇÑÄÄ¹ÙÅÁ" w:hAnsi="ÇÑÄÄ¹ÙÅÁ" w:cs="ÇÑÄÄ¹ÙÅÁ"/>
                <w:sz w:val="18"/>
                <w:szCs w:val="18"/>
              </w:rPr>
              <w:t>–</w:t>
            </w:r>
            <w:r w:rsidRPr="00D94C32">
              <w:rPr>
                <w:sz w:val="18"/>
                <w:szCs w:val="18"/>
              </w:rPr>
              <w:t>6.95)</w:t>
            </w:r>
          </w:p>
        </w:tc>
        <w:tc>
          <w:tcPr>
            <w:tcW w:w="993"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0.05</w:t>
            </w:r>
          </w:p>
        </w:tc>
        <w:tc>
          <w:tcPr>
            <w:tcW w:w="1984" w:type="dxa"/>
            <w:vAlign w:val="center"/>
          </w:tcPr>
          <w:p w:rsidR="00B70634" w:rsidRPr="00D94C32" w:rsidRDefault="00B70634" w:rsidP="001E3CA4">
            <w:pPr>
              <w:spacing w:before="0" w:line="240" w:lineRule="auto"/>
              <w:jc w:val="center"/>
              <w:rPr>
                <w:sz w:val="18"/>
                <w:szCs w:val="18"/>
              </w:rPr>
            </w:pPr>
            <w:r w:rsidRPr="00D94C32">
              <w:rPr>
                <w:sz w:val="18"/>
                <w:szCs w:val="18"/>
              </w:rPr>
              <w:t>5.09</w:t>
            </w:r>
            <w:r>
              <w:rPr>
                <w:rFonts w:hint="eastAsia"/>
                <w:sz w:val="18"/>
                <w:szCs w:val="18"/>
              </w:rPr>
              <w:t xml:space="preserve"> </w:t>
            </w:r>
            <w:r w:rsidRPr="00D94C32">
              <w:rPr>
                <w:sz w:val="18"/>
                <w:szCs w:val="18"/>
              </w:rPr>
              <w:t>(1.57</w:t>
            </w:r>
            <w:r w:rsidRPr="00D94C32">
              <w:rPr>
                <w:rFonts w:ascii="ÇÑÄÄ¹ÙÅÁ" w:hAnsi="ÇÑÄÄ¹ÙÅÁ" w:cs="ÇÑÄÄ¹ÙÅÁ"/>
                <w:sz w:val="18"/>
                <w:szCs w:val="18"/>
              </w:rPr>
              <w:t>–</w:t>
            </w:r>
            <w:r w:rsidRPr="00D94C32">
              <w:rPr>
                <w:sz w:val="18"/>
                <w:szCs w:val="18"/>
              </w:rPr>
              <w:t>16.52)</w:t>
            </w:r>
          </w:p>
        </w:tc>
        <w:tc>
          <w:tcPr>
            <w:tcW w:w="970" w:type="dxa"/>
            <w:vAlign w:val="center"/>
          </w:tcPr>
          <w:p w:rsidR="00B70634" w:rsidRPr="00D94C32" w:rsidRDefault="00B70634" w:rsidP="001E3CA4">
            <w:pPr>
              <w:spacing w:before="0" w:line="240" w:lineRule="auto"/>
              <w:jc w:val="center"/>
              <w:rPr>
                <w:sz w:val="18"/>
                <w:szCs w:val="18"/>
              </w:rPr>
            </w:pPr>
            <w:r w:rsidRPr="00D94C32">
              <w:rPr>
                <w:sz w:val="18"/>
                <w:szCs w:val="18"/>
              </w:rPr>
              <w:t>&lt;0.01</w:t>
            </w:r>
          </w:p>
        </w:tc>
      </w:tr>
      <w:tr w:rsidR="00B70634" w:rsidRPr="00D94C32" w:rsidTr="001E3CA4">
        <w:trPr>
          <w:trHeight w:val="387"/>
        </w:trPr>
        <w:tc>
          <w:tcPr>
            <w:tcW w:w="1985" w:type="dxa"/>
            <w:vAlign w:val="center"/>
          </w:tcPr>
          <w:p w:rsidR="00B70634" w:rsidRPr="00D94C32" w:rsidRDefault="00B70634" w:rsidP="001E3CA4">
            <w:pPr>
              <w:spacing w:before="0" w:line="240" w:lineRule="auto"/>
              <w:jc w:val="left"/>
              <w:rPr>
                <w:color w:val="auto"/>
                <w:sz w:val="18"/>
                <w:szCs w:val="18"/>
              </w:rPr>
            </w:pPr>
            <w:r w:rsidRPr="00D94C32">
              <w:rPr>
                <w:color w:val="auto"/>
                <w:sz w:val="18"/>
                <w:szCs w:val="18"/>
              </w:rPr>
              <w:t>Risk (3)</w:t>
            </w:r>
          </w:p>
        </w:tc>
        <w:tc>
          <w:tcPr>
            <w:tcW w:w="1276" w:type="dxa"/>
            <w:vAlign w:val="center"/>
          </w:tcPr>
          <w:p w:rsidR="00B70634" w:rsidRPr="00D94C32" w:rsidRDefault="00B70634" w:rsidP="001E3CA4">
            <w:pPr>
              <w:spacing w:before="0" w:line="240" w:lineRule="auto"/>
              <w:jc w:val="center"/>
              <w:rPr>
                <w:sz w:val="18"/>
                <w:szCs w:val="18"/>
              </w:rPr>
            </w:pPr>
            <w:r w:rsidRPr="00D94C32">
              <w:rPr>
                <w:sz w:val="18"/>
                <w:szCs w:val="18"/>
              </w:rPr>
              <w:t>3 (60.0)</w:t>
            </w:r>
          </w:p>
        </w:tc>
        <w:tc>
          <w:tcPr>
            <w:tcW w:w="1842" w:type="dxa"/>
            <w:vAlign w:val="center"/>
          </w:tcPr>
          <w:p w:rsidR="00B70634" w:rsidRPr="00D94C32" w:rsidRDefault="00B70634" w:rsidP="001E3CA4">
            <w:pPr>
              <w:spacing w:before="0" w:line="240" w:lineRule="auto"/>
              <w:jc w:val="center"/>
              <w:rPr>
                <w:sz w:val="18"/>
                <w:szCs w:val="18"/>
              </w:rPr>
            </w:pPr>
            <w:r w:rsidRPr="00D94C32">
              <w:rPr>
                <w:sz w:val="18"/>
                <w:szCs w:val="18"/>
              </w:rPr>
              <w:t>6.14</w:t>
            </w:r>
            <w:r w:rsidRPr="00D94C32">
              <w:rPr>
                <w:rFonts w:hint="eastAsia"/>
                <w:sz w:val="18"/>
                <w:szCs w:val="18"/>
              </w:rPr>
              <w:t xml:space="preserve"> </w:t>
            </w:r>
            <w:r w:rsidRPr="00D94C32">
              <w:rPr>
                <w:sz w:val="18"/>
                <w:szCs w:val="18"/>
              </w:rPr>
              <w:t>(0.91</w:t>
            </w:r>
            <w:r w:rsidRPr="00D94C32">
              <w:rPr>
                <w:rFonts w:ascii="ÇÑÄÄ¹ÙÅÁ" w:hAnsi="ÇÑÄÄ¹ÙÅÁ" w:cs="ÇÑÄÄ¹ÙÅÁ"/>
                <w:sz w:val="18"/>
                <w:szCs w:val="18"/>
              </w:rPr>
              <w:t>–</w:t>
            </w:r>
            <w:r w:rsidRPr="00D94C32">
              <w:rPr>
                <w:sz w:val="18"/>
                <w:szCs w:val="18"/>
              </w:rPr>
              <w:t>41.3)</w:t>
            </w:r>
          </w:p>
        </w:tc>
        <w:tc>
          <w:tcPr>
            <w:tcW w:w="993"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0.06</w:t>
            </w:r>
          </w:p>
        </w:tc>
        <w:tc>
          <w:tcPr>
            <w:tcW w:w="1984" w:type="dxa"/>
            <w:vAlign w:val="center"/>
          </w:tcPr>
          <w:p w:rsidR="00B70634" w:rsidRPr="00D94C32" w:rsidRDefault="00B70634" w:rsidP="001E3CA4">
            <w:pPr>
              <w:spacing w:before="0" w:line="240" w:lineRule="auto"/>
              <w:jc w:val="center"/>
              <w:rPr>
                <w:sz w:val="18"/>
                <w:szCs w:val="18"/>
              </w:rPr>
            </w:pPr>
            <w:r w:rsidRPr="00D94C32">
              <w:rPr>
                <w:sz w:val="18"/>
                <w:szCs w:val="18"/>
              </w:rPr>
              <w:t>9.56</w:t>
            </w:r>
            <w:r>
              <w:rPr>
                <w:rFonts w:hint="eastAsia"/>
                <w:sz w:val="18"/>
                <w:szCs w:val="18"/>
              </w:rPr>
              <w:t xml:space="preserve"> </w:t>
            </w:r>
            <w:r w:rsidRPr="00D94C32">
              <w:rPr>
                <w:sz w:val="18"/>
                <w:szCs w:val="18"/>
              </w:rPr>
              <w:t>(0.81</w:t>
            </w:r>
            <w:r w:rsidRPr="00D94C32">
              <w:rPr>
                <w:rFonts w:ascii="ÇÑÄÄ¹ÙÅÁ" w:hAnsi="ÇÑÄÄ¹ÙÅÁ" w:cs="ÇÑÄÄ¹ÙÅÁ"/>
                <w:sz w:val="18"/>
                <w:szCs w:val="18"/>
              </w:rPr>
              <w:t>–</w:t>
            </w:r>
            <w:r w:rsidRPr="00D94C32">
              <w:rPr>
                <w:sz w:val="18"/>
                <w:szCs w:val="18"/>
              </w:rPr>
              <w:t>112.97)</w:t>
            </w:r>
          </w:p>
        </w:tc>
        <w:tc>
          <w:tcPr>
            <w:tcW w:w="970"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0.07</w:t>
            </w:r>
          </w:p>
        </w:tc>
      </w:tr>
      <w:tr w:rsidR="00B70634" w:rsidRPr="00D94C32" w:rsidTr="001E3CA4">
        <w:trPr>
          <w:trHeight w:val="387"/>
        </w:trPr>
        <w:tc>
          <w:tcPr>
            <w:tcW w:w="1985" w:type="dxa"/>
            <w:tcBorders>
              <w:bottom w:val="single" w:sz="2" w:space="0" w:color="0A0000"/>
            </w:tcBorders>
            <w:vAlign w:val="center"/>
          </w:tcPr>
          <w:p w:rsidR="00B70634" w:rsidRPr="00D94C32" w:rsidRDefault="00B70634" w:rsidP="001E3CA4">
            <w:pPr>
              <w:spacing w:before="0" w:line="240" w:lineRule="auto"/>
              <w:jc w:val="left"/>
              <w:rPr>
                <w:sz w:val="18"/>
                <w:szCs w:val="18"/>
              </w:rPr>
            </w:pPr>
            <w:r w:rsidRPr="00D94C32">
              <w:rPr>
                <w:color w:val="auto"/>
                <w:sz w:val="18"/>
                <w:szCs w:val="18"/>
              </w:rPr>
              <w:t>Trend P</w:t>
            </w:r>
            <w:r w:rsidRPr="00D94C32">
              <w:rPr>
                <w:rFonts w:hint="eastAsia"/>
                <w:color w:val="auto"/>
                <w:sz w:val="18"/>
                <w:szCs w:val="18"/>
              </w:rPr>
              <w:t>-value</w:t>
            </w:r>
          </w:p>
        </w:tc>
        <w:tc>
          <w:tcPr>
            <w:tcW w:w="1276" w:type="dxa"/>
            <w:tcBorders>
              <w:bottom w:val="single" w:sz="2" w:space="0" w:color="0A0000"/>
            </w:tcBorders>
            <w:vAlign w:val="center"/>
          </w:tcPr>
          <w:p w:rsidR="00B70634" w:rsidRPr="00D94C32" w:rsidRDefault="00B70634" w:rsidP="001E3CA4">
            <w:pPr>
              <w:spacing w:before="0" w:line="240" w:lineRule="auto"/>
              <w:jc w:val="center"/>
              <w:rPr>
                <w:sz w:val="18"/>
                <w:szCs w:val="18"/>
              </w:rPr>
            </w:pPr>
          </w:p>
        </w:tc>
        <w:tc>
          <w:tcPr>
            <w:tcW w:w="1842" w:type="dxa"/>
            <w:tcBorders>
              <w:bottom w:val="single" w:sz="2" w:space="0" w:color="0A0000"/>
            </w:tcBorders>
            <w:vAlign w:val="center"/>
          </w:tcPr>
          <w:p w:rsidR="00B70634" w:rsidRPr="00D94C32" w:rsidRDefault="00B70634" w:rsidP="001E3CA4">
            <w:pPr>
              <w:spacing w:before="0" w:line="240" w:lineRule="auto"/>
              <w:jc w:val="center"/>
              <w:rPr>
                <w:sz w:val="18"/>
                <w:szCs w:val="18"/>
              </w:rPr>
            </w:pPr>
          </w:p>
        </w:tc>
        <w:tc>
          <w:tcPr>
            <w:tcW w:w="993" w:type="dxa"/>
            <w:tcBorders>
              <w:bottom w:val="single" w:sz="2" w:space="0" w:color="0A0000"/>
            </w:tcBorders>
            <w:vAlign w:val="center"/>
          </w:tcPr>
          <w:p w:rsidR="00B70634" w:rsidRPr="00D94C32" w:rsidRDefault="00B70634" w:rsidP="001E3CA4">
            <w:pPr>
              <w:spacing w:before="0" w:line="240" w:lineRule="auto"/>
              <w:jc w:val="center"/>
              <w:rPr>
                <w:sz w:val="18"/>
                <w:szCs w:val="18"/>
              </w:rPr>
            </w:pPr>
            <w:r>
              <w:rPr>
                <w:rFonts w:hint="eastAsia"/>
                <w:sz w:val="18"/>
                <w:szCs w:val="18"/>
              </w:rPr>
              <w:t>0.01</w:t>
            </w:r>
          </w:p>
        </w:tc>
        <w:tc>
          <w:tcPr>
            <w:tcW w:w="1984" w:type="dxa"/>
            <w:tcBorders>
              <w:bottom w:val="single" w:sz="2" w:space="0" w:color="0A0000"/>
            </w:tcBorders>
            <w:vAlign w:val="center"/>
          </w:tcPr>
          <w:p w:rsidR="00B70634" w:rsidRPr="00D94C32" w:rsidRDefault="00B70634" w:rsidP="001E3CA4">
            <w:pPr>
              <w:spacing w:before="0" w:line="240" w:lineRule="auto"/>
              <w:jc w:val="center"/>
              <w:rPr>
                <w:sz w:val="18"/>
                <w:szCs w:val="18"/>
              </w:rPr>
            </w:pPr>
          </w:p>
        </w:tc>
        <w:tc>
          <w:tcPr>
            <w:tcW w:w="970" w:type="dxa"/>
            <w:tcBorders>
              <w:bottom w:val="single" w:sz="2" w:space="0" w:color="0A0000"/>
            </w:tcBorders>
            <w:vAlign w:val="center"/>
          </w:tcPr>
          <w:p w:rsidR="00B70634" w:rsidRPr="00D94C32" w:rsidRDefault="00B70634" w:rsidP="001E3CA4">
            <w:pPr>
              <w:spacing w:before="0" w:line="240" w:lineRule="auto"/>
              <w:jc w:val="center"/>
              <w:rPr>
                <w:sz w:val="18"/>
                <w:szCs w:val="18"/>
              </w:rPr>
            </w:pPr>
            <w:r w:rsidRPr="00D94C32">
              <w:rPr>
                <w:rFonts w:hint="eastAsia"/>
                <w:sz w:val="18"/>
                <w:szCs w:val="18"/>
              </w:rPr>
              <w:t>&lt;0.01</w:t>
            </w:r>
          </w:p>
        </w:tc>
      </w:tr>
      <w:tr w:rsidR="00B70634" w:rsidRPr="00D94C32" w:rsidTr="005403E3">
        <w:trPr>
          <w:trHeight w:val="387"/>
        </w:trPr>
        <w:tc>
          <w:tcPr>
            <w:tcW w:w="9050" w:type="dxa"/>
            <w:gridSpan w:val="6"/>
            <w:tcBorders>
              <w:top w:val="single" w:sz="2" w:space="0" w:color="0A0000"/>
              <w:bottom w:val="single" w:sz="2" w:space="0" w:color="0A0000"/>
            </w:tcBorders>
            <w:vAlign w:val="center"/>
          </w:tcPr>
          <w:p w:rsidR="00B70634" w:rsidRPr="00051E6F" w:rsidRDefault="00B70634" w:rsidP="00B70634">
            <w:pPr>
              <w:rPr>
                <w:sz w:val="16"/>
                <w:szCs w:val="16"/>
              </w:rPr>
            </w:pPr>
            <w:r w:rsidRPr="00051E6F">
              <w:rPr>
                <w:sz w:val="16"/>
                <w:szCs w:val="16"/>
              </w:rPr>
              <w:t xml:space="preserve">* Adjusted for gestational age at birth, sex, pre-pregnancy maternal body-mass index, maternal age at delivery, maternal education level, prenatal exposure to smoke, prenatal exposure to pets, presence of older siblings, and parental history of allergic diseases. </w:t>
            </w:r>
          </w:p>
          <w:p w:rsidR="00B70634" w:rsidRPr="00051E6F" w:rsidRDefault="00B70634" w:rsidP="00B70634">
            <w:pPr>
              <w:rPr>
                <w:sz w:val="16"/>
                <w:szCs w:val="16"/>
              </w:rPr>
            </w:pPr>
            <w:r w:rsidRPr="00051E6F">
              <w:rPr>
                <w:rFonts w:ascii="굴림" w:eastAsia="굴림" w:hAnsi="굴림" w:cs="굴림" w:hint="eastAsia"/>
                <w:sz w:val="16"/>
                <w:szCs w:val="16"/>
                <w:vertAlign w:val="superscript"/>
              </w:rPr>
              <w:t>†</w:t>
            </w:r>
            <w:r w:rsidRPr="00051E6F">
              <w:rPr>
                <w:sz w:val="16"/>
                <w:szCs w:val="16"/>
              </w:rPr>
              <w:t xml:space="preserve"> The risk factors are: unfavorable alleles of each gene, prenatal antibiotic use, and cesarean de</w:t>
            </w:r>
            <w:r>
              <w:rPr>
                <w:sz w:val="16"/>
                <w:szCs w:val="16"/>
              </w:rPr>
              <w:t>livery.</w:t>
            </w:r>
          </w:p>
          <w:p w:rsidR="00B70634" w:rsidRPr="00B70634" w:rsidRDefault="00B70634" w:rsidP="001E3CA4">
            <w:pPr>
              <w:spacing w:before="0" w:line="240" w:lineRule="auto"/>
              <w:jc w:val="center"/>
              <w:rPr>
                <w:rFonts w:hint="eastAsia"/>
                <w:sz w:val="18"/>
                <w:szCs w:val="18"/>
              </w:rPr>
            </w:pPr>
          </w:p>
        </w:tc>
      </w:tr>
      <w:tr w:rsidR="00B70634" w:rsidRPr="00D94C32" w:rsidTr="001E3CA4">
        <w:trPr>
          <w:trHeight w:val="387"/>
        </w:trPr>
        <w:tc>
          <w:tcPr>
            <w:tcW w:w="1985" w:type="dxa"/>
            <w:tcBorders>
              <w:top w:val="single" w:sz="2" w:space="0" w:color="0A0000"/>
              <w:bottom w:val="single" w:sz="2" w:space="0" w:color="0A0000"/>
            </w:tcBorders>
            <w:vAlign w:val="center"/>
          </w:tcPr>
          <w:p w:rsidR="00B70634" w:rsidRPr="00D94C32" w:rsidRDefault="00B70634" w:rsidP="001E3CA4">
            <w:pPr>
              <w:spacing w:before="0" w:line="240" w:lineRule="auto"/>
              <w:jc w:val="left"/>
              <w:rPr>
                <w:b/>
                <w:sz w:val="18"/>
                <w:szCs w:val="18"/>
              </w:rPr>
            </w:pPr>
            <w:r w:rsidRPr="00D94C32">
              <w:rPr>
                <w:b/>
                <w:sz w:val="18"/>
                <w:szCs w:val="18"/>
              </w:rPr>
              <w:t>CD14 rs2569190</w:t>
            </w:r>
          </w:p>
        </w:tc>
        <w:tc>
          <w:tcPr>
            <w:tcW w:w="1276"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c>
          <w:tcPr>
            <w:tcW w:w="1842"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c>
          <w:tcPr>
            <w:tcW w:w="993"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c>
          <w:tcPr>
            <w:tcW w:w="1984"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c>
          <w:tcPr>
            <w:tcW w:w="970" w:type="dxa"/>
            <w:tcBorders>
              <w:top w:val="single" w:sz="2" w:space="0" w:color="0A0000"/>
              <w:bottom w:val="single" w:sz="2" w:space="0" w:color="0A0000"/>
            </w:tcBorders>
            <w:vAlign w:val="center"/>
          </w:tcPr>
          <w:p w:rsidR="00B70634" w:rsidRPr="00D94C32" w:rsidRDefault="00B70634" w:rsidP="001E3CA4">
            <w:pPr>
              <w:spacing w:before="0" w:line="240" w:lineRule="auto"/>
              <w:jc w:val="center"/>
              <w:rPr>
                <w:sz w:val="18"/>
                <w:szCs w:val="18"/>
              </w:rPr>
            </w:pPr>
          </w:p>
        </w:tc>
      </w:tr>
      <w:tr w:rsidR="00B70634" w:rsidRPr="00D94C32" w:rsidTr="001E3CA4">
        <w:trPr>
          <w:trHeight w:val="387"/>
        </w:trPr>
        <w:tc>
          <w:tcPr>
            <w:tcW w:w="1985" w:type="dxa"/>
            <w:tcBorders>
              <w:top w:val="single" w:sz="2" w:space="0" w:color="0A0000"/>
            </w:tcBorders>
            <w:vAlign w:val="center"/>
          </w:tcPr>
          <w:p w:rsidR="00B70634" w:rsidRPr="00D94C32" w:rsidRDefault="00B70634" w:rsidP="001E3CA4">
            <w:pPr>
              <w:spacing w:before="0" w:line="240" w:lineRule="auto"/>
              <w:jc w:val="left"/>
              <w:rPr>
                <w:color w:val="auto"/>
                <w:sz w:val="18"/>
                <w:szCs w:val="18"/>
              </w:rPr>
            </w:pPr>
            <w:r w:rsidRPr="00D94C32">
              <w:rPr>
                <w:color w:val="auto"/>
                <w:sz w:val="18"/>
                <w:szCs w:val="18"/>
              </w:rPr>
              <w:t>Risk (0)</w:t>
            </w:r>
          </w:p>
        </w:tc>
        <w:tc>
          <w:tcPr>
            <w:tcW w:w="1276" w:type="dxa"/>
            <w:tcBorders>
              <w:top w:val="single" w:sz="2" w:space="0" w:color="0A0000"/>
            </w:tcBorders>
            <w:vAlign w:val="center"/>
          </w:tcPr>
          <w:p w:rsidR="00B70634" w:rsidRPr="00D94C32" w:rsidRDefault="00B70634" w:rsidP="001E3CA4">
            <w:pPr>
              <w:spacing w:before="0" w:line="240" w:lineRule="auto"/>
              <w:jc w:val="center"/>
              <w:rPr>
                <w:sz w:val="18"/>
                <w:szCs w:val="18"/>
              </w:rPr>
            </w:pPr>
            <w:r w:rsidRPr="00D94C32">
              <w:rPr>
                <w:sz w:val="18"/>
                <w:szCs w:val="18"/>
              </w:rPr>
              <w:t>9 (22.0)</w:t>
            </w:r>
          </w:p>
        </w:tc>
        <w:tc>
          <w:tcPr>
            <w:tcW w:w="1842" w:type="dxa"/>
            <w:tcBorders>
              <w:top w:val="single" w:sz="2" w:space="0" w:color="0A0000"/>
            </w:tcBorders>
            <w:vAlign w:val="center"/>
          </w:tcPr>
          <w:p w:rsidR="00B70634" w:rsidRPr="00D94C32" w:rsidRDefault="00B70634" w:rsidP="001E3CA4">
            <w:pPr>
              <w:spacing w:before="0" w:line="240" w:lineRule="auto"/>
              <w:jc w:val="center"/>
              <w:rPr>
                <w:sz w:val="18"/>
                <w:szCs w:val="18"/>
              </w:rPr>
            </w:pPr>
            <w:r w:rsidRPr="00D94C32">
              <w:rPr>
                <w:rFonts w:hint="eastAsia"/>
                <w:sz w:val="18"/>
                <w:szCs w:val="18"/>
              </w:rPr>
              <w:t>1.00</w:t>
            </w:r>
          </w:p>
        </w:tc>
        <w:tc>
          <w:tcPr>
            <w:tcW w:w="993" w:type="dxa"/>
            <w:tcBorders>
              <w:top w:val="single" w:sz="2" w:space="0" w:color="0A0000"/>
            </w:tcBorders>
            <w:vAlign w:val="center"/>
          </w:tcPr>
          <w:p w:rsidR="00B70634" w:rsidRPr="00D94C32" w:rsidRDefault="00B70634" w:rsidP="001E3CA4">
            <w:pPr>
              <w:spacing w:before="0" w:line="240" w:lineRule="auto"/>
              <w:jc w:val="center"/>
              <w:rPr>
                <w:sz w:val="18"/>
                <w:szCs w:val="18"/>
              </w:rPr>
            </w:pPr>
          </w:p>
        </w:tc>
        <w:tc>
          <w:tcPr>
            <w:tcW w:w="1984" w:type="dxa"/>
            <w:tcBorders>
              <w:top w:val="single" w:sz="2" w:space="0" w:color="0A0000"/>
            </w:tcBorders>
            <w:vAlign w:val="center"/>
          </w:tcPr>
          <w:p w:rsidR="00B70634" w:rsidRPr="00D94C32" w:rsidRDefault="00B70634" w:rsidP="001E3CA4">
            <w:pPr>
              <w:spacing w:before="0" w:line="240" w:lineRule="auto"/>
              <w:jc w:val="center"/>
              <w:rPr>
                <w:sz w:val="18"/>
                <w:szCs w:val="18"/>
              </w:rPr>
            </w:pPr>
            <w:r w:rsidRPr="00D94C32">
              <w:rPr>
                <w:rFonts w:hint="eastAsia"/>
                <w:sz w:val="18"/>
                <w:szCs w:val="18"/>
              </w:rPr>
              <w:t>1.00</w:t>
            </w:r>
          </w:p>
        </w:tc>
        <w:tc>
          <w:tcPr>
            <w:tcW w:w="970" w:type="dxa"/>
            <w:tcBorders>
              <w:top w:val="single" w:sz="2" w:space="0" w:color="0A0000"/>
            </w:tcBorders>
            <w:vAlign w:val="center"/>
          </w:tcPr>
          <w:p w:rsidR="00B70634" w:rsidRPr="00D94C32" w:rsidRDefault="00B70634" w:rsidP="001E3CA4">
            <w:pPr>
              <w:spacing w:before="0" w:line="240" w:lineRule="auto"/>
              <w:jc w:val="center"/>
              <w:rPr>
                <w:sz w:val="18"/>
                <w:szCs w:val="18"/>
              </w:rPr>
            </w:pPr>
          </w:p>
        </w:tc>
      </w:tr>
      <w:tr w:rsidR="00B70634" w:rsidRPr="00D94C32" w:rsidTr="001E3CA4">
        <w:trPr>
          <w:trHeight w:val="387"/>
        </w:trPr>
        <w:tc>
          <w:tcPr>
            <w:tcW w:w="1985" w:type="dxa"/>
            <w:vAlign w:val="center"/>
          </w:tcPr>
          <w:p w:rsidR="00B70634" w:rsidRPr="00D94C32" w:rsidRDefault="00B70634" w:rsidP="001E3CA4">
            <w:pPr>
              <w:spacing w:before="0" w:line="240" w:lineRule="auto"/>
              <w:jc w:val="left"/>
              <w:rPr>
                <w:color w:val="auto"/>
                <w:sz w:val="18"/>
                <w:szCs w:val="18"/>
              </w:rPr>
            </w:pPr>
            <w:r w:rsidRPr="00D94C32">
              <w:rPr>
                <w:color w:val="auto"/>
                <w:sz w:val="18"/>
                <w:szCs w:val="18"/>
              </w:rPr>
              <w:t>Risk (1)</w:t>
            </w:r>
          </w:p>
        </w:tc>
        <w:tc>
          <w:tcPr>
            <w:tcW w:w="1276" w:type="dxa"/>
            <w:vAlign w:val="center"/>
          </w:tcPr>
          <w:p w:rsidR="00B70634" w:rsidRPr="00D94C32" w:rsidRDefault="00B70634" w:rsidP="001E3CA4">
            <w:pPr>
              <w:spacing w:before="0" w:line="240" w:lineRule="auto"/>
              <w:jc w:val="center"/>
              <w:rPr>
                <w:sz w:val="18"/>
                <w:szCs w:val="18"/>
              </w:rPr>
            </w:pPr>
            <w:r w:rsidRPr="00D94C32">
              <w:rPr>
                <w:sz w:val="18"/>
                <w:szCs w:val="18"/>
              </w:rPr>
              <w:t>30 (27.3)</w:t>
            </w:r>
          </w:p>
        </w:tc>
        <w:tc>
          <w:tcPr>
            <w:tcW w:w="1842" w:type="dxa"/>
            <w:vAlign w:val="center"/>
          </w:tcPr>
          <w:p w:rsidR="00B70634" w:rsidRPr="00D94C32" w:rsidRDefault="00B70634" w:rsidP="001E3CA4">
            <w:pPr>
              <w:spacing w:before="0" w:line="240" w:lineRule="auto"/>
              <w:jc w:val="center"/>
              <w:rPr>
                <w:sz w:val="18"/>
                <w:szCs w:val="18"/>
              </w:rPr>
            </w:pPr>
            <w:r w:rsidRPr="00D94C32">
              <w:rPr>
                <w:sz w:val="18"/>
                <w:szCs w:val="18"/>
              </w:rPr>
              <w:t>1.33</w:t>
            </w:r>
            <w:r w:rsidRPr="00D94C32">
              <w:rPr>
                <w:rFonts w:hint="eastAsia"/>
                <w:sz w:val="18"/>
                <w:szCs w:val="18"/>
              </w:rPr>
              <w:t xml:space="preserve"> </w:t>
            </w:r>
            <w:r w:rsidRPr="00D94C32">
              <w:rPr>
                <w:sz w:val="18"/>
                <w:szCs w:val="18"/>
              </w:rPr>
              <w:t>(0.57</w:t>
            </w:r>
            <w:r w:rsidRPr="00D94C32">
              <w:rPr>
                <w:rFonts w:ascii="ÇÑÄÄ¹ÙÅÁ" w:hAnsi="ÇÑÄÄ¹ÙÅÁ" w:cs="ÇÑÄÄ¹ÙÅÁ"/>
                <w:sz w:val="18"/>
                <w:szCs w:val="18"/>
              </w:rPr>
              <w:t>–</w:t>
            </w:r>
            <w:r w:rsidRPr="00D94C32">
              <w:rPr>
                <w:sz w:val="18"/>
                <w:szCs w:val="18"/>
              </w:rPr>
              <w:t>3.12)</w:t>
            </w:r>
          </w:p>
        </w:tc>
        <w:tc>
          <w:tcPr>
            <w:tcW w:w="993"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0.51</w:t>
            </w:r>
          </w:p>
        </w:tc>
        <w:tc>
          <w:tcPr>
            <w:tcW w:w="1984" w:type="dxa"/>
            <w:vAlign w:val="center"/>
          </w:tcPr>
          <w:p w:rsidR="00B70634" w:rsidRPr="00D94C32" w:rsidRDefault="00B70634" w:rsidP="001E3CA4">
            <w:pPr>
              <w:spacing w:before="0" w:line="240" w:lineRule="auto"/>
              <w:jc w:val="center"/>
              <w:rPr>
                <w:sz w:val="18"/>
                <w:szCs w:val="18"/>
              </w:rPr>
            </w:pPr>
            <w:r w:rsidRPr="00D94C32">
              <w:rPr>
                <w:sz w:val="18"/>
                <w:szCs w:val="18"/>
              </w:rPr>
              <w:t>1.70</w:t>
            </w:r>
            <w:r w:rsidRPr="00D94C32">
              <w:rPr>
                <w:rFonts w:hint="eastAsia"/>
                <w:sz w:val="18"/>
                <w:szCs w:val="18"/>
              </w:rPr>
              <w:t xml:space="preserve"> </w:t>
            </w:r>
            <w:r w:rsidRPr="00D94C32">
              <w:rPr>
                <w:sz w:val="18"/>
                <w:szCs w:val="18"/>
              </w:rPr>
              <w:t>(0.61</w:t>
            </w:r>
            <w:r w:rsidRPr="00D94C32">
              <w:rPr>
                <w:rFonts w:ascii="ÇÑÄÄ¹ÙÅÁ" w:hAnsi="ÇÑÄÄ¹ÙÅÁ" w:cs="ÇÑÄÄ¹ÙÅÁ"/>
                <w:sz w:val="18"/>
                <w:szCs w:val="18"/>
              </w:rPr>
              <w:t>–</w:t>
            </w:r>
            <w:r w:rsidRPr="00D94C32">
              <w:rPr>
                <w:sz w:val="18"/>
                <w:szCs w:val="18"/>
              </w:rPr>
              <w:t>4.70)</w:t>
            </w:r>
          </w:p>
        </w:tc>
        <w:tc>
          <w:tcPr>
            <w:tcW w:w="970"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0.31</w:t>
            </w:r>
          </w:p>
        </w:tc>
      </w:tr>
      <w:tr w:rsidR="00B70634" w:rsidRPr="00D94C32" w:rsidTr="001E3CA4">
        <w:trPr>
          <w:trHeight w:val="387"/>
        </w:trPr>
        <w:tc>
          <w:tcPr>
            <w:tcW w:w="1985" w:type="dxa"/>
            <w:vAlign w:val="center"/>
          </w:tcPr>
          <w:p w:rsidR="00B70634" w:rsidRPr="00D94C32" w:rsidRDefault="00B70634" w:rsidP="001E3CA4">
            <w:pPr>
              <w:spacing w:before="0" w:line="240" w:lineRule="auto"/>
              <w:jc w:val="left"/>
              <w:rPr>
                <w:color w:val="auto"/>
                <w:sz w:val="18"/>
                <w:szCs w:val="18"/>
              </w:rPr>
            </w:pPr>
            <w:r w:rsidRPr="00D94C32">
              <w:rPr>
                <w:color w:val="auto"/>
                <w:sz w:val="18"/>
                <w:szCs w:val="18"/>
              </w:rPr>
              <w:t>Risk (2)</w:t>
            </w:r>
          </w:p>
        </w:tc>
        <w:tc>
          <w:tcPr>
            <w:tcW w:w="1276" w:type="dxa"/>
            <w:vAlign w:val="center"/>
          </w:tcPr>
          <w:p w:rsidR="00B70634" w:rsidRPr="00D94C32" w:rsidRDefault="00B70634" w:rsidP="001E3CA4">
            <w:pPr>
              <w:spacing w:before="0" w:line="240" w:lineRule="auto"/>
              <w:jc w:val="center"/>
              <w:rPr>
                <w:sz w:val="18"/>
                <w:szCs w:val="18"/>
              </w:rPr>
            </w:pPr>
            <w:r w:rsidRPr="00D94C32">
              <w:rPr>
                <w:sz w:val="18"/>
                <w:szCs w:val="18"/>
              </w:rPr>
              <w:t>21 (43.8)</w:t>
            </w:r>
          </w:p>
        </w:tc>
        <w:tc>
          <w:tcPr>
            <w:tcW w:w="1842" w:type="dxa"/>
            <w:vAlign w:val="center"/>
          </w:tcPr>
          <w:p w:rsidR="00B70634" w:rsidRPr="00D94C32" w:rsidRDefault="00B70634" w:rsidP="001E3CA4">
            <w:pPr>
              <w:spacing w:before="0" w:line="240" w:lineRule="auto"/>
              <w:jc w:val="center"/>
              <w:rPr>
                <w:sz w:val="18"/>
                <w:szCs w:val="18"/>
              </w:rPr>
            </w:pPr>
            <w:r w:rsidRPr="00D94C32">
              <w:rPr>
                <w:sz w:val="18"/>
                <w:szCs w:val="18"/>
              </w:rPr>
              <w:t>2.77</w:t>
            </w:r>
            <w:r w:rsidRPr="00D94C32">
              <w:rPr>
                <w:rFonts w:hint="eastAsia"/>
                <w:sz w:val="18"/>
                <w:szCs w:val="18"/>
              </w:rPr>
              <w:t xml:space="preserve"> </w:t>
            </w:r>
            <w:r w:rsidRPr="00D94C32">
              <w:rPr>
                <w:sz w:val="18"/>
                <w:szCs w:val="18"/>
              </w:rPr>
              <w:t>(1.09</w:t>
            </w:r>
            <w:r w:rsidRPr="00D94C32">
              <w:rPr>
                <w:rFonts w:ascii="ÇÑÄÄ¹ÙÅÁ" w:hAnsi="ÇÑÄÄ¹ÙÅÁ" w:cs="ÇÑÄÄ¹ÙÅÁ"/>
                <w:sz w:val="18"/>
                <w:szCs w:val="18"/>
              </w:rPr>
              <w:t>–</w:t>
            </w:r>
            <w:r w:rsidRPr="00D94C32">
              <w:rPr>
                <w:sz w:val="18"/>
                <w:szCs w:val="18"/>
              </w:rPr>
              <w:t>7.04)</w:t>
            </w:r>
          </w:p>
        </w:tc>
        <w:tc>
          <w:tcPr>
            <w:tcW w:w="993"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0.03</w:t>
            </w:r>
          </w:p>
        </w:tc>
        <w:tc>
          <w:tcPr>
            <w:tcW w:w="1984" w:type="dxa"/>
            <w:vAlign w:val="center"/>
          </w:tcPr>
          <w:p w:rsidR="00B70634" w:rsidRPr="00D94C32" w:rsidRDefault="00B70634" w:rsidP="001E3CA4">
            <w:pPr>
              <w:spacing w:before="0" w:line="240" w:lineRule="auto"/>
              <w:jc w:val="center"/>
              <w:rPr>
                <w:sz w:val="18"/>
                <w:szCs w:val="18"/>
              </w:rPr>
            </w:pPr>
            <w:r w:rsidRPr="00D94C32">
              <w:rPr>
                <w:sz w:val="18"/>
                <w:szCs w:val="18"/>
              </w:rPr>
              <w:t>3.53</w:t>
            </w:r>
            <w:r w:rsidRPr="00D94C32">
              <w:rPr>
                <w:rFonts w:hint="eastAsia"/>
                <w:sz w:val="18"/>
                <w:szCs w:val="18"/>
              </w:rPr>
              <w:t xml:space="preserve"> </w:t>
            </w:r>
            <w:r w:rsidRPr="00D94C32">
              <w:rPr>
                <w:sz w:val="18"/>
                <w:szCs w:val="18"/>
              </w:rPr>
              <w:t>(1.12</w:t>
            </w:r>
            <w:r w:rsidRPr="00D94C32">
              <w:rPr>
                <w:rFonts w:ascii="ÇÑÄÄ¹ÙÅÁ" w:hAnsi="ÇÑÄÄ¹ÙÅÁ" w:cs="ÇÑÄÄ¹ÙÅÁ"/>
                <w:sz w:val="18"/>
                <w:szCs w:val="18"/>
              </w:rPr>
              <w:t>–</w:t>
            </w:r>
            <w:r w:rsidRPr="00D94C32">
              <w:rPr>
                <w:sz w:val="18"/>
                <w:szCs w:val="18"/>
              </w:rPr>
              <w:t>11.17)</w:t>
            </w:r>
          </w:p>
        </w:tc>
        <w:tc>
          <w:tcPr>
            <w:tcW w:w="970"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0.03</w:t>
            </w:r>
          </w:p>
        </w:tc>
      </w:tr>
      <w:tr w:rsidR="00B70634" w:rsidRPr="00D94C32" w:rsidTr="001E3CA4">
        <w:trPr>
          <w:trHeight w:val="387"/>
        </w:trPr>
        <w:tc>
          <w:tcPr>
            <w:tcW w:w="1985" w:type="dxa"/>
            <w:vAlign w:val="center"/>
          </w:tcPr>
          <w:p w:rsidR="00B70634" w:rsidRPr="00D94C32" w:rsidRDefault="00B70634" w:rsidP="001E3CA4">
            <w:pPr>
              <w:spacing w:before="0" w:line="240" w:lineRule="auto"/>
              <w:jc w:val="left"/>
              <w:rPr>
                <w:color w:val="auto"/>
                <w:sz w:val="18"/>
                <w:szCs w:val="18"/>
              </w:rPr>
            </w:pPr>
            <w:r w:rsidRPr="00D94C32">
              <w:rPr>
                <w:color w:val="auto"/>
                <w:sz w:val="18"/>
                <w:szCs w:val="18"/>
              </w:rPr>
              <w:t>Risk (3)</w:t>
            </w:r>
          </w:p>
        </w:tc>
        <w:tc>
          <w:tcPr>
            <w:tcW w:w="1276" w:type="dxa"/>
            <w:vAlign w:val="center"/>
          </w:tcPr>
          <w:p w:rsidR="00B70634" w:rsidRPr="00D94C32" w:rsidRDefault="00B70634" w:rsidP="001E3CA4">
            <w:pPr>
              <w:spacing w:before="0" w:line="240" w:lineRule="auto"/>
              <w:jc w:val="center"/>
              <w:rPr>
                <w:sz w:val="18"/>
                <w:szCs w:val="18"/>
              </w:rPr>
            </w:pPr>
            <w:r w:rsidRPr="00D94C32">
              <w:rPr>
                <w:sz w:val="18"/>
                <w:szCs w:val="18"/>
              </w:rPr>
              <w:t>1 (50.0)</w:t>
            </w:r>
          </w:p>
        </w:tc>
        <w:tc>
          <w:tcPr>
            <w:tcW w:w="1842" w:type="dxa"/>
            <w:vAlign w:val="center"/>
          </w:tcPr>
          <w:p w:rsidR="00B70634" w:rsidRPr="00D94C32" w:rsidRDefault="00B70634" w:rsidP="001E3CA4">
            <w:pPr>
              <w:spacing w:before="0" w:line="240" w:lineRule="auto"/>
              <w:jc w:val="center"/>
              <w:rPr>
                <w:sz w:val="18"/>
                <w:szCs w:val="18"/>
              </w:rPr>
            </w:pPr>
            <w:r w:rsidRPr="00D94C32">
              <w:rPr>
                <w:sz w:val="18"/>
                <w:szCs w:val="18"/>
              </w:rPr>
              <w:t>3.56</w:t>
            </w:r>
            <w:r w:rsidRPr="00D94C32">
              <w:rPr>
                <w:rFonts w:hint="eastAsia"/>
                <w:sz w:val="18"/>
                <w:szCs w:val="18"/>
              </w:rPr>
              <w:t xml:space="preserve"> </w:t>
            </w:r>
            <w:r w:rsidRPr="00D94C32">
              <w:rPr>
                <w:sz w:val="18"/>
                <w:szCs w:val="18"/>
              </w:rPr>
              <w:t>(0.20</w:t>
            </w:r>
            <w:r w:rsidRPr="00D94C32">
              <w:rPr>
                <w:rFonts w:ascii="ÇÑÄÄ¹ÙÅÁ" w:hAnsi="ÇÑÄÄ¹ÙÅÁ" w:cs="ÇÑÄÄ¹ÙÅÁ"/>
                <w:sz w:val="18"/>
                <w:szCs w:val="18"/>
              </w:rPr>
              <w:t>–</w:t>
            </w:r>
            <w:r w:rsidRPr="00D94C32">
              <w:rPr>
                <w:sz w:val="18"/>
                <w:szCs w:val="18"/>
              </w:rPr>
              <w:t>62.6)</w:t>
            </w:r>
          </w:p>
        </w:tc>
        <w:tc>
          <w:tcPr>
            <w:tcW w:w="993"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0.39</w:t>
            </w:r>
          </w:p>
        </w:tc>
        <w:tc>
          <w:tcPr>
            <w:tcW w:w="1984" w:type="dxa"/>
            <w:vAlign w:val="center"/>
          </w:tcPr>
          <w:p w:rsidR="00B70634" w:rsidRPr="00D94C32" w:rsidRDefault="00B70634" w:rsidP="001E3CA4">
            <w:pPr>
              <w:spacing w:before="0" w:line="240" w:lineRule="auto"/>
              <w:jc w:val="center"/>
              <w:rPr>
                <w:sz w:val="18"/>
                <w:szCs w:val="18"/>
              </w:rPr>
            </w:pPr>
            <w:r w:rsidRPr="00D94C32">
              <w:rPr>
                <w:sz w:val="18"/>
                <w:szCs w:val="18"/>
              </w:rPr>
              <w:t>13.44</w:t>
            </w:r>
            <w:r w:rsidRPr="00D94C32">
              <w:rPr>
                <w:rFonts w:hint="eastAsia"/>
                <w:sz w:val="18"/>
                <w:szCs w:val="18"/>
              </w:rPr>
              <w:t xml:space="preserve"> </w:t>
            </w:r>
            <w:r w:rsidRPr="00D94C32">
              <w:rPr>
                <w:sz w:val="18"/>
                <w:szCs w:val="18"/>
              </w:rPr>
              <w:t>(0.32</w:t>
            </w:r>
            <w:r w:rsidRPr="00D94C32">
              <w:rPr>
                <w:rFonts w:ascii="ÇÑÄÄ¹ÙÅÁ" w:hAnsi="ÇÑÄÄ¹ÙÅÁ" w:cs="ÇÑÄÄ¹ÙÅÁ"/>
                <w:sz w:val="18"/>
                <w:szCs w:val="18"/>
              </w:rPr>
              <w:t>–</w:t>
            </w:r>
            <w:r w:rsidRPr="00D94C32">
              <w:rPr>
                <w:sz w:val="18"/>
                <w:szCs w:val="18"/>
              </w:rPr>
              <w:t>571.18)</w:t>
            </w:r>
          </w:p>
        </w:tc>
        <w:tc>
          <w:tcPr>
            <w:tcW w:w="970"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0.17</w:t>
            </w:r>
          </w:p>
        </w:tc>
      </w:tr>
      <w:tr w:rsidR="00B70634" w:rsidRPr="00D94C32" w:rsidTr="001E3CA4">
        <w:trPr>
          <w:trHeight w:val="387"/>
        </w:trPr>
        <w:tc>
          <w:tcPr>
            <w:tcW w:w="1985" w:type="dxa"/>
            <w:vAlign w:val="center"/>
          </w:tcPr>
          <w:p w:rsidR="00B70634" w:rsidRPr="00D94C32" w:rsidRDefault="00B70634" w:rsidP="001E3CA4">
            <w:pPr>
              <w:spacing w:before="0" w:line="240" w:lineRule="auto"/>
              <w:jc w:val="left"/>
              <w:rPr>
                <w:sz w:val="18"/>
                <w:szCs w:val="18"/>
              </w:rPr>
            </w:pPr>
            <w:r w:rsidRPr="00D94C32">
              <w:rPr>
                <w:color w:val="auto"/>
                <w:sz w:val="18"/>
                <w:szCs w:val="18"/>
              </w:rPr>
              <w:t>Trend P</w:t>
            </w:r>
            <w:r w:rsidRPr="00D94C32">
              <w:rPr>
                <w:rFonts w:hint="eastAsia"/>
                <w:color w:val="auto"/>
                <w:sz w:val="18"/>
                <w:szCs w:val="18"/>
              </w:rPr>
              <w:t>-value</w:t>
            </w:r>
          </w:p>
        </w:tc>
        <w:tc>
          <w:tcPr>
            <w:tcW w:w="1276" w:type="dxa"/>
            <w:vAlign w:val="center"/>
          </w:tcPr>
          <w:p w:rsidR="00B70634" w:rsidRPr="00D94C32" w:rsidRDefault="00B70634" w:rsidP="001E3CA4">
            <w:pPr>
              <w:spacing w:before="0" w:line="240" w:lineRule="auto"/>
              <w:jc w:val="center"/>
              <w:rPr>
                <w:sz w:val="18"/>
                <w:szCs w:val="18"/>
              </w:rPr>
            </w:pPr>
          </w:p>
        </w:tc>
        <w:tc>
          <w:tcPr>
            <w:tcW w:w="1842" w:type="dxa"/>
            <w:vAlign w:val="center"/>
          </w:tcPr>
          <w:p w:rsidR="00B70634" w:rsidRPr="00D94C32" w:rsidRDefault="00B70634" w:rsidP="001E3CA4">
            <w:pPr>
              <w:spacing w:before="0" w:line="240" w:lineRule="auto"/>
              <w:jc w:val="center"/>
              <w:rPr>
                <w:sz w:val="18"/>
                <w:szCs w:val="18"/>
              </w:rPr>
            </w:pPr>
          </w:p>
        </w:tc>
        <w:tc>
          <w:tcPr>
            <w:tcW w:w="993" w:type="dxa"/>
            <w:vAlign w:val="center"/>
          </w:tcPr>
          <w:p w:rsidR="00B70634" w:rsidRPr="00D94C32" w:rsidRDefault="00B70634" w:rsidP="001E3CA4">
            <w:pPr>
              <w:spacing w:before="0" w:line="240" w:lineRule="auto"/>
              <w:jc w:val="center"/>
              <w:rPr>
                <w:sz w:val="18"/>
                <w:szCs w:val="18"/>
              </w:rPr>
            </w:pPr>
            <w:r>
              <w:rPr>
                <w:rFonts w:hint="eastAsia"/>
                <w:sz w:val="18"/>
                <w:szCs w:val="18"/>
              </w:rPr>
              <w:t>0.02</w:t>
            </w:r>
          </w:p>
        </w:tc>
        <w:tc>
          <w:tcPr>
            <w:tcW w:w="1984" w:type="dxa"/>
            <w:vAlign w:val="center"/>
          </w:tcPr>
          <w:p w:rsidR="00B70634" w:rsidRPr="00D94C32" w:rsidRDefault="00B70634" w:rsidP="001E3CA4">
            <w:pPr>
              <w:spacing w:before="0" w:line="240" w:lineRule="auto"/>
              <w:jc w:val="center"/>
              <w:rPr>
                <w:sz w:val="18"/>
                <w:szCs w:val="18"/>
              </w:rPr>
            </w:pPr>
          </w:p>
        </w:tc>
        <w:tc>
          <w:tcPr>
            <w:tcW w:w="970" w:type="dxa"/>
            <w:vAlign w:val="center"/>
          </w:tcPr>
          <w:p w:rsidR="00B70634" w:rsidRPr="00D94C32" w:rsidRDefault="00B70634" w:rsidP="001E3CA4">
            <w:pPr>
              <w:spacing w:before="0" w:line="240" w:lineRule="auto"/>
              <w:jc w:val="center"/>
              <w:rPr>
                <w:sz w:val="18"/>
                <w:szCs w:val="18"/>
              </w:rPr>
            </w:pPr>
            <w:r w:rsidRPr="00D94C32">
              <w:rPr>
                <w:rFonts w:hint="eastAsia"/>
                <w:sz w:val="18"/>
                <w:szCs w:val="18"/>
              </w:rPr>
              <w:t>0.0</w:t>
            </w:r>
            <w:r>
              <w:rPr>
                <w:rFonts w:hint="eastAsia"/>
                <w:sz w:val="18"/>
                <w:szCs w:val="18"/>
              </w:rPr>
              <w:t>2</w:t>
            </w:r>
          </w:p>
        </w:tc>
      </w:tr>
    </w:tbl>
    <w:p w:rsidR="00B70634" w:rsidRPr="00051E6F" w:rsidRDefault="00B70634" w:rsidP="00B70634">
      <w:pPr>
        <w:rPr>
          <w:sz w:val="16"/>
          <w:szCs w:val="16"/>
        </w:rPr>
      </w:pPr>
      <w:r w:rsidRPr="00051E6F">
        <w:rPr>
          <w:sz w:val="16"/>
          <w:szCs w:val="16"/>
        </w:rPr>
        <w:t xml:space="preserve">* Adjusted for gestational age at birth, sex, pre-pregnancy maternal body-mass index, maternal age at delivery, maternal education level, prenatal exposure to smoke, prenatal exposure to pets, presence of older siblings, and parental history of allergic diseases. </w:t>
      </w:r>
    </w:p>
    <w:p w:rsidR="00B70634" w:rsidRPr="00051E6F" w:rsidRDefault="00B70634" w:rsidP="00B70634">
      <w:pPr>
        <w:rPr>
          <w:sz w:val="16"/>
          <w:szCs w:val="16"/>
        </w:rPr>
      </w:pPr>
      <w:r w:rsidRPr="00051E6F">
        <w:rPr>
          <w:rFonts w:ascii="굴림" w:eastAsia="굴림" w:hAnsi="굴림" w:cs="굴림" w:hint="eastAsia"/>
          <w:sz w:val="16"/>
          <w:szCs w:val="16"/>
          <w:vertAlign w:val="superscript"/>
        </w:rPr>
        <w:t>†</w:t>
      </w:r>
      <w:r w:rsidRPr="00051E6F">
        <w:rPr>
          <w:sz w:val="16"/>
          <w:szCs w:val="16"/>
        </w:rPr>
        <w:t xml:space="preserve"> The risk factors are: unfavorable alleles of each gene, prenatal antibiotic use, and cesarean de</w:t>
      </w:r>
      <w:r>
        <w:rPr>
          <w:sz w:val="16"/>
          <w:szCs w:val="16"/>
        </w:rPr>
        <w:t>livery.</w:t>
      </w:r>
    </w:p>
    <w:p w:rsidR="001C6A02" w:rsidRDefault="001C6A02" w:rsidP="00683FD9">
      <w:pPr>
        <w:rPr>
          <w:rFonts w:hint="eastAsia"/>
        </w:rPr>
      </w:pPr>
    </w:p>
    <w:p w:rsidR="00B70634" w:rsidRPr="00B70634" w:rsidRDefault="00B70634" w:rsidP="00683FD9"/>
    <w:p w:rsidR="001C6A02" w:rsidRPr="002F4E8E" w:rsidRDefault="001C6A02" w:rsidP="001C6A02">
      <w:pPr>
        <w:pStyle w:val="a3"/>
        <w:tabs>
          <w:tab w:val="left" w:pos="8080"/>
        </w:tabs>
        <w:ind w:left="900" w:hanging="100"/>
      </w:pPr>
      <w:r w:rsidRPr="002F4E8E">
        <w:rPr>
          <w:color w:val="auto"/>
        </w:rPr>
        <w:t xml:space="preserve">Figure </w:t>
      </w:r>
      <w:r w:rsidR="00530861">
        <w:rPr>
          <w:rFonts w:hint="eastAsia"/>
          <w:color w:val="auto"/>
        </w:rPr>
        <w:t>S</w:t>
      </w:r>
      <w:r w:rsidRPr="002F4E8E">
        <w:rPr>
          <w:color w:val="auto"/>
        </w:rPr>
        <w:t>1. Diversity</w:t>
      </w:r>
      <w:r w:rsidRPr="002F4E8E">
        <w:t xml:space="preserve"> of the total </w:t>
      </w:r>
      <w:proofErr w:type="spellStart"/>
      <w:r w:rsidRPr="002F4E8E">
        <w:t>microbiota</w:t>
      </w:r>
      <w:proofErr w:type="spellEnd"/>
      <w:r w:rsidRPr="002F4E8E">
        <w:t xml:space="preserve"> in stool samples obtained at 6 months of age from five infants who were born by cesarean delivery and were exposed prenatally to </w:t>
      </w:r>
      <w:r w:rsidRPr="002F4E8E">
        <w:lastRenderedPageBreak/>
        <w:t xml:space="preserve">antibiotics (case) and six infants who were born by vaginal delivery and did not have a history of prenatal exposure to antibiotics (control). The distribution of bacterial diversity (A) and phylum compositions (B) in each case and control are shown. </w:t>
      </w:r>
    </w:p>
    <w:p w:rsidR="001C6A02" w:rsidRPr="001C6A02" w:rsidRDefault="001C6A02" w:rsidP="00683FD9"/>
    <w:p w:rsidR="00683FD9" w:rsidRPr="002F4E8E" w:rsidRDefault="00683FD9" w:rsidP="00683FD9">
      <w:pPr>
        <w:pStyle w:val="a3"/>
        <w:tabs>
          <w:tab w:val="left" w:pos="4260"/>
        </w:tabs>
      </w:pPr>
      <w:r w:rsidRPr="002F4E8E">
        <w:tab/>
      </w:r>
    </w:p>
    <w:p w:rsidR="001C6A02" w:rsidRPr="002F4E8E" w:rsidRDefault="001C6A02" w:rsidP="001C6A02">
      <w:pPr>
        <w:pStyle w:val="a3"/>
        <w:numPr>
          <w:ilvl w:val="0"/>
          <w:numId w:val="1"/>
        </w:numPr>
        <w:ind w:left="502" w:hanging="360"/>
      </w:pPr>
      <w:r>
        <w:rPr>
          <w:noProof/>
        </w:rPr>
        <w:drawing>
          <wp:anchor distT="0" distB="0" distL="114300" distR="114300" simplePos="0" relativeHeight="251660288" behindDoc="0" locked="0" layoutInCell="0" allowOverlap="1">
            <wp:simplePos x="0" y="0"/>
            <wp:positionH relativeFrom="column">
              <wp:posOffset>793750</wp:posOffset>
            </wp:positionH>
            <wp:positionV relativeFrom="paragraph">
              <wp:posOffset>587375</wp:posOffset>
            </wp:positionV>
            <wp:extent cx="4171950" cy="2774950"/>
            <wp:effectExtent l="19050" t="0" r="0" b="0"/>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171950" cy="2774950"/>
                    </a:xfrm>
                    <a:prstGeom prst="rect">
                      <a:avLst/>
                    </a:prstGeom>
                    <a:noFill/>
                  </pic:spPr>
                </pic:pic>
              </a:graphicData>
            </a:graphic>
          </wp:anchor>
        </w:drawing>
      </w:r>
    </w:p>
    <w:p w:rsidR="001C6A02" w:rsidRPr="002F4E8E" w:rsidRDefault="001C6A02" w:rsidP="001C6A02">
      <w:pPr>
        <w:pStyle w:val="1"/>
        <w:ind w:left="502"/>
        <w:rPr>
          <w:rFonts w:ascii="맑은 고딕" w:eastAsia="맑은 고딕" w:hAnsi="맑은 고딕" w:cs="맑은 고딕"/>
        </w:rPr>
      </w:pPr>
      <w:proofErr w:type="gramStart"/>
      <w:r w:rsidRPr="002F4E8E">
        <w:rPr>
          <w:rFonts w:ascii="맑은 고딕" w:eastAsia="맑은 고딕" w:hAnsi="맑은 고딕" w:cs="맑은 고딕"/>
        </w:rPr>
        <w:t>OTUs :</w:t>
      </w:r>
      <w:proofErr w:type="gramEnd"/>
      <w:r w:rsidRPr="002F4E8E">
        <w:rPr>
          <w:rFonts w:ascii="맑은 고딕" w:eastAsia="맑은 고딕" w:hAnsi="맑은 고딕" w:cs="맑은 고딕"/>
        </w:rPr>
        <w:t xml:space="preserve"> Operational Taxonomic Units</w:t>
      </w:r>
    </w:p>
    <w:p w:rsidR="001C6A02" w:rsidRPr="002F4E8E" w:rsidRDefault="001C6A02" w:rsidP="001C6A02">
      <w:pPr>
        <w:pStyle w:val="1"/>
        <w:numPr>
          <w:ilvl w:val="0"/>
          <w:numId w:val="1"/>
        </w:numPr>
        <w:ind w:left="502" w:hanging="360"/>
        <w:rPr>
          <w:rFonts w:eastAsia="맑은 고딕"/>
        </w:rPr>
      </w:pPr>
    </w:p>
    <w:p w:rsidR="001C6A02" w:rsidRPr="002F4E8E" w:rsidRDefault="001C6A02" w:rsidP="001C6A02">
      <w:pPr>
        <w:pStyle w:val="1"/>
        <w:rPr>
          <w:rFonts w:ascii="한컴바탕" w:eastAsia="맑은 고딕" w:hAnsi="한컴바탕" w:cs="한컴바탕"/>
          <w:w w:val="0"/>
          <w:sz w:val="2"/>
          <w:szCs w:val="2"/>
        </w:rPr>
      </w:pPr>
      <w:r>
        <w:rPr>
          <w:noProof/>
        </w:rPr>
        <w:drawing>
          <wp:anchor distT="0" distB="0" distL="114300" distR="114300" simplePos="0" relativeHeight="251661312" behindDoc="0" locked="0" layoutInCell="0" allowOverlap="1">
            <wp:simplePos x="0" y="0"/>
            <wp:positionH relativeFrom="column">
              <wp:posOffset>622300</wp:posOffset>
            </wp:positionH>
            <wp:positionV relativeFrom="paragraph">
              <wp:posOffset>75565</wp:posOffset>
            </wp:positionV>
            <wp:extent cx="3329940" cy="2609850"/>
            <wp:effectExtent l="19050" t="0" r="3810" b="0"/>
            <wp:wrapTopAndBottom/>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329940" cy="2609850"/>
                    </a:xfrm>
                    <a:prstGeom prst="rect">
                      <a:avLst/>
                    </a:prstGeom>
                    <a:noFill/>
                  </pic:spPr>
                </pic:pic>
              </a:graphicData>
            </a:graphic>
          </wp:anchor>
        </w:drawing>
      </w:r>
    </w:p>
    <w:p w:rsidR="003403AE" w:rsidRPr="00DA37C3" w:rsidRDefault="00DA37C3">
      <w:pPr>
        <w:rPr>
          <w:b/>
        </w:rPr>
      </w:pPr>
      <w:r w:rsidRPr="00DA37C3">
        <w:rPr>
          <w:rFonts w:hint="eastAsia"/>
          <w:b/>
        </w:rPr>
        <w:lastRenderedPageBreak/>
        <w:t>Supporting Information Legends</w:t>
      </w:r>
    </w:p>
    <w:p w:rsidR="00DA37C3" w:rsidRPr="002F4E8E" w:rsidRDefault="00DA37C3" w:rsidP="00DA37C3">
      <w:pPr>
        <w:rPr>
          <w:color w:val="auto"/>
        </w:rPr>
      </w:pPr>
      <w:r w:rsidRPr="002F4E8E">
        <w:rPr>
          <w:color w:val="auto"/>
        </w:rPr>
        <w:t xml:space="preserve">Table </w:t>
      </w:r>
      <w:r>
        <w:rPr>
          <w:rFonts w:hint="eastAsia"/>
          <w:color w:val="auto"/>
        </w:rPr>
        <w:t>S</w:t>
      </w:r>
      <w:r w:rsidRPr="002F4E8E">
        <w:rPr>
          <w:color w:val="auto"/>
        </w:rPr>
        <w:t xml:space="preserve">1. Combined effects of prenatal antibiotic exposure and parental history of allergic diseases on the development of atopic dermatitis at 1 year of age </w:t>
      </w:r>
    </w:p>
    <w:p w:rsidR="00DA37C3" w:rsidRDefault="00DA37C3"/>
    <w:p w:rsidR="00DA37C3" w:rsidRPr="002F4E8E" w:rsidRDefault="00DA37C3" w:rsidP="00DA37C3">
      <w:r w:rsidRPr="002F4E8E">
        <w:rPr>
          <w:color w:val="auto"/>
        </w:rPr>
        <w:t xml:space="preserve">Table </w:t>
      </w:r>
      <w:r>
        <w:rPr>
          <w:rFonts w:hint="eastAsia"/>
          <w:color w:val="auto"/>
        </w:rPr>
        <w:t>S</w:t>
      </w:r>
      <w:r w:rsidRPr="002F4E8E">
        <w:rPr>
          <w:color w:val="auto"/>
        </w:rPr>
        <w:t>2. Additive effects</w:t>
      </w:r>
      <w:r w:rsidRPr="002F4E8E">
        <w:t xml:space="preserve"> between IL-13 or CD14 genetic polymorphism, prenatal antibiotic exposure, and delivery mode on the development of atopic dermatitis in infancy</w:t>
      </w:r>
    </w:p>
    <w:p w:rsidR="00DA37C3" w:rsidRDefault="00DA37C3"/>
    <w:p w:rsidR="001C6A02" w:rsidRPr="002F4E8E" w:rsidRDefault="001C6A02" w:rsidP="001C6A02">
      <w:pPr>
        <w:pStyle w:val="a3"/>
        <w:tabs>
          <w:tab w:val="left" w:pos="5103"/>
        </w:tabs>
        <w:ind w:left="0"/>
      </w:pPr>
      <w:r w:rsidRPr="002F4E8E">
        <w:rPr>
          <w:b/>
          <w:bCs/>
          <w:color w:val="auto"/>
        </w:rPr>
        <w:t xml:space="preserve">Figure </w:t>
      </w:r>
      <w:r w:rsidR="00530861">
        <w:rPr>
          <w:rFonts w:hint="eastAsia"/>
          <w:b/>
          <w:bCs/>
          <w:color w:val="auto"/>
        </w:rPr>
        <w:t>S</w:t>
      </w:r>
      <w:r w:rsidRPr="002F4E8E">
        <w:rPr>
          <w:b/>
          <w:bCs/>
          <w:color w:val="auto"/>
        </w:rPr>
        <w:t>1.</w:t>
      </w:r>
      <w:r w:rsidRPr="002F4E8E">
        <w:rPr>
          <w:b/>
          <w:bCs/>
        </w:rPr>
        <w:t xml:space="preserve"> </w:t>
      </w:r>
      <w:proofErr w:type="gramStart"/>
      <w:r w:rsidRPr="002F4E8E">
        <w:rPr>
          <w:b/>
          <w:bCs/>
        </w:rPr>
        <w:t xml:space="preserve">Diversity of the total </w:t>
      </w:r>
      <w:proofErr w:type="spellStart"/>
      <w:r w:rsidRPr="002F4E8E">
        <w:rPr>
          <w:b/>
          <w:bCs/>
        </w:rPr>
        <w:t>microbiota</w:t>
      </w:r>
      <w:proofErr w:type="spellEnd"/>
      <w:r w:rsidRPr="002F4E8E">
        <w:rPr>
          <w:b/>
          <w:bCs/>
        </w:rPr>
        <w:t xml:space="preserve"> in stool samples.</w:t>
      </w:r>
      <w:proofErr w:type="gramEnd"/>
      <w:r w:rsidRPr="002F4E8E">
        <w:t xml:space="preserve"> </w:t>
      </w:r>
    </w:p>
    <w:p w:rsidR="001C6A02" w:rsidRPr="002F4E8E" w:rsidRDefault="001C6A02" w:rsidP="001C6A02">
      <w:pPr>
        <w:pStyle w:val="a3"/>
        <w:tabs>
          <w:tab w:val="left" w:pos="5103"/>
        </w:tabs>
        <w:ind w:left="0"/>
      </w:pPr>
      <w:r w:rsidRPr="002F4E8E">
        <w:t xml:space="preserve"> It obtained at 6 months of age from five infants who were born by cesarean delivery and were exposed prenatally to antibiotics (case) and six infants who were born by vaginal delivery and did not have a history of prenatal exposure to antibiotics (control). The distribution of bacterial diversity (A) and phylum compositions (B) in each case and control are shown.</w:t>
      </w:r>
    </w:p>
    <w:p w:rsidR="001C6A02" w:rsidRPr="001C6A02" w:rsidRDefault="001C6A02"/>
    <w:sectPr w:rsidR="001C6A02" w:rsidRPr="001C6A02" w:rsidSect="003403A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96" w:rsidRDefault="00E16696" w:rsidP="00530861">
      <w:pPr>
        <w:spacing w:before="0" w:line="240" w:lineRule="auto"/>
      </w:pPr>
      <w:r>
        <w:separator/>
      </w:r>
    </w:p>
  </w:endnote>
  <w:endnote w:type="continuationSeparator" w:id="0">
    <w:p w:rsidR="00E16696" w:rsidRDefault="00E16696" w:rsidP="0053086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96" w:rsidRDefault="00E16696" w:rsidP="00530861">
      <w:pPr>
        <w:spacing w:before="0" w:line="240" w:lineRule="auto"/>
      </w:pPr>
      <w:r>
        <w:separator/>
      </w:r>
    </w:p>
  </w:footnote>
  <w:footnote w:type="continuationSeparator" w:id="0">
    <w:p w:rsidR="00E16696" w:rsidRDefault="00E16696" w:rsidP="00530861">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upp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FD9"/>
    <w:rsid w:val="000D0138"/>
    <w:rsid w:val="001C6A02"/>
    <w:rsid w:val="00266EC4"/>
    <w:rsid w:val="003403AE"/>
    <w:rsid w:val="00530861"/>
    <w:rsid w:val="00683FD9"/>
    <w:rsid w:val="007E452E"/>
    <w:rsid w:val="008962A5"/>
    <w:rsid w:val="008F23E4"/>
    <w:rsid w:val="00A937F8"/>
    <w:rsid w:val="00B70634"/>
    <w:rsid w:val="00C948DB"/>
    <w:rsid w:val="00DA37C3"/>
    <w:rsid w:val="00E166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before="24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D9"/>
    <w:pPr>
      <w:widowControl w:val="0"/>
      <w:wordWrap w:val="0"/>
      <w:autoSpaceDE w:val="0"/>
      <w:autoSpaceDN w:val="0"/>
      <w:adjustRightInd w:val="0"/>
      <w:jc w:val="both"/>
      <w:textAlignment w:val="baseline"/>
    </w:pPr>
    <w:rPr>
      <w:rFonts w:ascii="맑은 고딕" w:eastAsia="맑은 고딕" w:hAnsi="맑은 고딕" w:cs="맑은 고딕"/>
      <w:color w:val="000000"/>
      <w:kern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4"/>
    <w:qFormat/>
    <w:rsid w:val="00683FD9"/>
    <w:pPr>
      <w:ind w:left="800"/>
    </w:pPr>
  </w:style>
  <w:style w:type="paragraph" w:customStyle="1" w:styleId="1">
    <w:name w:val="바탕글1"/>
    <w:uiPriority w:val="20"/>
    <w:rsid w:val="001C6A02"/>
    <w:pPr>
      <w:adjustRightInd w:val="0"/>
      <w:snapToGrid w:val="0"/>
      <w:spacing w:before="0" w:line="384" w:lineRule="auto"/>
      <w:jc w:val="both"/>
      <w:textAlignment w:val="baseline"/>
    </w:pPr>
    <w:rPr>
      <w:rFonts w:ascii="ÇÑÄÄ¹ÙÅÁ" w:hAnsi="ÇÑÄÄ¹ÙÅÁ" w:cs="ÇÑÄÄ¹ÙÅÁ"/>
      <w:color w:val="000000"/>
      <w:kern w:val="0"/>
      <w:szCs w:val="20"/>
    </w:rPr>
  </w:style>
  <w:style w:type="paragraph" w:styleId="a4">
    <w:name w:val="header"/>
    <w:basedOn w:val="a"/>
    <w:link w:val="Char"/>
    <w:uiPriority w:val="99"/>
    <w:semiHidden/>
    <w:unhideWhenUsed/>
    <w:rsid w:val="00530861"/>
    <w:pPr>
      <w:tabs>
        <w:tab w:val="center" w:pos="4513"/>
        <w:tab w:val="right" w:pos="9026"/>
      </w:tabs>
      <w:snapToGrid w:val="0"/>
    </w:pPr>
  </w:style>
  <w:style w:type="character" w:customStyle="1" w:styleId="Char">
    <w:name w:val="머리글 Char"/>
    <w:basedOn w:val="a0"/>
    <w:link w:val="a4"/>
    <w:uiPriority w:val="99"/>
    <w:semiHidden/>
    <w:rsid w:val="00530861"/>
    <w:rPr>
      <w:rFonts w:ascii="맑은 고딕" w:eastAsia="맑은 고딕" w:hAnsi="맑은 고딕" w:cs="맑은 고딕"/>
      <w:color w:val="000000"/>
      <w:kern w:val="20"/>
      <w:szCs w:val="20"/>
    </w:rPr>
  </w:style>
  <w:style w:type="paragraph" w:styleId="a5">
    <w:name w:val="footer"/>
    <w:basedOn w:val="a"/>
    <w:link w:val="Char0"/>
    <w:uiPriority w:val="99"/>
    <w:semiHidden/>
    <w:unhideWhenUsed/>
    <w:rsid w:val="00530861"/>
    <w:pPr>
      <w:tabs>
        <w:tab w:val="center" w:pos="4513"/>
        <w:tab w:val="right" w:pos="9026"/>
      </w:tabs>
      <w:snapToGrid w:val="0"/>
    </w:pPr>
  </w:style>
  <w:style w:type="character" w:customStyle="1" w:styleId="Char0">
    <w:name w:val="바닥글 Char"/>
    <w:basedOn w:val="a0"/>
    <w:link w:val="a5"/>
    <w:uiPriority w:val="99"/>
    <w:semiHidden/>
    <w:rsid w:val="00530861"/>
    <w:rPr>
      <w:rFonts w:ascii="맑은 고딕" w:eastAsia="맑은 고딕" w:hAnsi="맑은 고딕" w:cs="맑은 고딕"/>
      <w:color w:val="000000"/>
      <w:kern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559</Words>
  <Characters>3188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XNOTE</dc:creator>
  <cp:keywords/>
  <dc:description/>
  <cp:lastModifiedBy>XNOTE</cp:lastModifiedBy>
  <cp:revision>4</cp:revision>
  <dcterms:created xsi:type="dcterms:W3CDTF">2014-04-17T02:49:00Z</dcterms:created>
  <dcterms:modified xsi:type="dcterms:W3CDTF">2014-04-18T05:20:00Z</dcterms:modified>
</cp:coreProperties>
</file>