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92"/>
        <w:tblW w:w="13858" w:type="dxa"/>
        <w:tblBorders>
          <w:top w:val="single" w:sz="8" w:space="0" w:color="000000"/>
          <w:bottom w:val="single" w:sz="8" w:space="0" w:color="000000"/>
        </w:tblBorders>
        <w:tblLook w:val="00A0"/>
      </w:tblPr>
      <w:tblGrid>
        <w:gridCol w:w="5353"/>
        <w:gridCol w:w="8505"/>
      </w:tblGrid>
      <w:tr w:rsidR="00A3797F" w:rsidRPr="007C2D00" w:rsidTr="007C2D00">
        <w:trPr>
          <w:trHeight w:val="255"/>
        </w:trPr>
        <w:tc>
          <w:tcPr>
            <w:tcW w:w="5353" w:type="dxa"/>
            <w:tcBorders>
              <w:top w:val="single" w:sz="8" w:space="0" w:color="000000"/>
              <w:left w:val="nil"/>
              <w:bottom w:val="single" w:sz="8" w:space="0" w:color="000000"/>
              <w:right w:val="nil"/>
            </w:tcBorders>
          </w:tcPr>
          <w:p w:rsidR="00A3797F" w:rsidRPr="007C2D00" w:rsidRDefault="00A3797F" w:rsidP="007C2D00">
            <w:pPr>
              <w:spacing w:after="0" w:line="240" w:lineRule="auto"/>
              <w:rPr>
                <w:rFonts w:ascii="Times New Roman" w:hAnsi="Times New Roman"/>
                <w:b/>
                <w:bCs/>
                <w:color w:val="000000"/>
                <w:sz w:val="18"/>
                <w:szCs w:val="18"/>
                <w:lang w:eastAsia="en-GB"/>
              </w:rPr>
            </w:pPr>
            <w:r w:rsidRPr="007C2D00">
              <w:rPr>
                <w:rFonts w:ascii="Times New Roman" w:hAnsi="Times New Roman"/>
                <w:bCs/>
                <w:color w:val="000000"/>
                <w:sz w:val="18"/>
                <w:szCs w:val="18"/>
                <w:lang w:eastAsia="en-GB"/>
              </w:rPr>
              <w:t>Taxon</w:t>
            </w:r>
          </w:p>
        </w:tc>
        <w:tc>
          <w:tcPr>
            <w:tcW w:w="8505" w:type="dxa"/>
            <w:tcBorders>
              <w:top w:val="single" w:sz="8" w:space="0" w:color="000000"/>
              <w:left w:val="nil"/>
              <w:bottom w:val="single" w:sz="8" w:space="0" w:color="000000"/>
              <w:right w:val="nil"/>
            </w:tcBorders>
          </w:tcPr>
          <w:p w:rsidR="00A3797F" w:rsidRPr="007C2D00" w:rsidRDefault="00A3797F" w:rsidP="007C2D00">
            <w:pPr>
              <w:spacing w:after="0" w:line="240" w:lineRule="auto"/>
              <w:rPr>
                <w:rFonts w:ascii="Times New Roman" w:hAnsi="Times New Roman"/>
                <w:b/>
                <w:bCs/>
                <w:color w:val="000000"/>
                <w:sz w:val="18"/>
                <w:szCs w:val="18"/>
                <w:lang w:eastAsia="en-GB"/>
              </w:rPr>
            </w:pPr>
            <w:r w:rsidRPr="007C2D00">
              <w:rPr>
                <w:rFonts w:ascii="Times New Roman" w:hAnsi="Times New Roman"/>
                <w:bCs/>
                <w:color w:val="000000"/>
                <w:sz w:val="18"/>
                <w:szCs w:val="18"/>
                <w:lang w:eastAsia="en-GB"/>
              </w:rPr>
              <w:t>Notes</w:t>
            </w:r>
          </w:p>
        </w:tc>
      </w:tr>
      <w:tr w:rsidR="00A3797F" w:rsidRPr="007C2D00" w:rsidTr="007C2D00">
        <w:trPr>
          <w:trHeight w:val="225"/>
        </w:trPr>
        <w:tc>
          <w:tcPr>
            <w:tcW w:w="5353" w:type="dxa"/>
            <w:noWrap/>
          </w:tcPr>
          <w:p w:rsidR="00A3797F" w:rsidRPr="007C2D00" w:rsidRDefault="00A3797F" w:rsidP="007C2D00">
            <w:pPr>
              <w:spacing w:before="120" w:after="0" w:line="240" w:lineRule="auto"/>
              <w:rPr>
                <w:b/>
                <w:bCs/>
                <w:color w:val="000000"/>
                <w:sz w:val="18"/>
                <w:szCs w:val="18"/>
              </w:rPr>
            </w:pPr>
            <w:r w:rsidRPr="007C2D00">
              <w:rPr>
                <w:rFonts w:ascii="Times New Roman" w:hAnsi="Times New Roman"/>
                <w:bCs/>
                <w:iCs/>
                <w:color w:val="000000"/>
                <w:sz w:val="18"/>
                <w:szCs w:val="18"/>
                <w:lang w:eastAsia="en-GB"/>
              </w:rPr>
              <w:t xml:space="preserve">North Island Kiwi </w:t>
            </w:r>
            <w:r w:rsidRPr="007C2D00">
              <w:rPr>
                <w:rFonts w:ascii="Times New Roman" w:hAnsi="Times New Roman"/>
                <w:bCs/>
                <w:i/>
                <w:iCs/>
                <w:color w:val="000000"/>
                <w:sz w:val="18"/>
                <w:szCs w:val="18"/>
                <w:lang w:eastAsia="en-GB"/>
              </w:rPr>
              <w:t xml:space="preserve">Apteryx owenii iredalei </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Noted by Dickinson (2003) as not being distinct.</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Cs/>
                <w:color w:val="000000"/>
                <w:sz w:val="18"/>
                <w:szCs w:val="18"/>
                <w:lang w:eastAsia="en-GB"/>
              </w:rPr>
            </w:pPr>
            <w:r w:rsidRPr="007C2D00">
              <w:rPr>
                <w:rFonts w:ascii="Times New Roman" w:hAnsi="Times New Roman"/>
                <w:bCs/>
                <w:iCs/>
                <w:color w:val="000000"/>
                <w:sz w:val="18"/>
                <w:szCs w:val="18"/>
                <w:lang w:eastAsia="en-GB"/>
              </w:rPr>
              <w:t xml:space="preserve">West Coast Spotted Kiwi </w:t>
            </w:r>
            <w:r w:rsidRPr="007C2D00">
              <w:rPr>
                <w:rFonts w:ascii="Times New Roman" w:hAnsi="Times New Roman"/>
                <w:bCs/>
                <w:i/>
                <w:iCs/>
                <w:color w:val="000000"/>
                <w:sz w:val="18"/>
                <w:szCs w:val="18"/>
                <w:lang w:eastAsia="en-GB"/>
              </w:rPr>
              <w:t>Apteryx australis occidentalis</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Cs/>
                <w:color w:val="000000"/>
                <w:sz w:val="18"/>
                <w:szCs w:val="18"/>
                <w:lang w:eastAsia="en-GB"/>
              </w:rPr>
            </w:pPr>
            <w:r w:rsidRPr="007C2D00">
              <w:rPr>
                <w:rFonts w:ascii="Times New Roman" w:hAnsi="Times New Roman"/>
                <w:bCs/>
                <w:iCs/>
                <w:color w:val="000000"/>
                <w:sz w:val="18"/>
                <w:szCs w:val="18"/>
                <w:lang w:eastAsia="en-GB"/>
              </w:rPr>
              <w:t xml:space="preserve">Key West Bobwhite </w:t>
            </w:r>
            <w:r w:rsidRPr="007C2D00">
              <w:rPr>
                <w:rFonts w:ascii="Times New Roman" w:hAnsi="Times New Roman"/>
                <w:bCs/>
                <w:i/>
                <w:iCs/>
                <w:color w:val="000000"/>
                <w:sz w:val="18"/>
                <w:szCs w:val="18"/>
                <w:lang w:eastAsia="en-GB"/>
              </w:rPr>
              <w:t xml:space="preserve">Colinus virginianus insulanus </w:t>
            </w:r>
            <w:r w:rsidRPr="007C2D00">
              <w:rPr>
                <w:rFonts w:ascii="Times New Roman" w:hAnsi="Times New Roman"/>
                <w:bCs/>
                <w:iCs/>
                <w:color w:val="000000"/>
                <w:sz w:val="18"/>
                <w:szCs w:val="18"/>
                <w:lang w:eastAsia="en-GB"/>
              </w:rPr>
              <w:t>*</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 xml:space="preserve">Not recognised following Aldrich (1946) who considered it synonymous with </w:t>
            </w:r>
            <w:r w:rsidRPr="007C2D00">
              <w:rPr>
                <w:rFonts w:ascii="Times New Roman" w:hAnsi="Times New Roman"/>
                <w:i/>
                <w:iCs/>
                <w:color w:val="000000"/>
                <w:sz w:val="18"/>
                <w:szCs w:val="18"/>
                <w:lang w:eastAsia="en-GB"/>
              </w:rPr>
              <w:t>C. v. floridianus</w:t>
            </w:r>
            <w:r w:rsidRPr="007C2D00">
              <w:rPr>
                <w:rFonts w:ascii="Times New Roman" w:hAnsi="Times New Roman"/>
                <w:iCs/>
                <w:color w:val="000000"/>
                <w:sz w:val="18"/>
                <w:szCs w:val="18"/>
                <w:lang w:eastAsia="en-GB"/>
              </w:rPr>
              <w:t>. Apparently overlooked by Dickinson (2003).</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Cs/>
                <w:color w:val="000000"/>
                <w:sz w:val="18"/>
                <w:szCs w:val="18"/>
                <w:lang w:eastAsia="en-GB"/>
              </w:rPr>
            </w:pPr>
            <w:r w:rsidRPr="007C2D00">
              <w:rPr>
                <w:rFonts w:ascii="Times New Roman" w:hAnsi="Times New Roman"/>
                <w:bCs/>
                <w:iCs/>
                <w:color w:val="000000"/>
                <w:sz w:val="18"/>
                <w:szCs w:val="18"/>
                <w:lang w:eastAsia="en-GB"/>
              </w:rPr>
              <w:t xml:space="preserve">Turkish Black Francolin </w:t>
            </w:r>
            <w:r w:rsidRPr="007C2D00">
              <w:rPr>
                <w:rFonts w:ascii="Times New Roman" w:hAnsi="Times New Roman"/>
                <w:bCs/>
                <w:i/>
                <w:iCs/>
                <w:color w:val="000000"/>
                <w:sz w:val="18"/>
                <w:szCs w:val="18"/>
                <w:lang w:eastAsia="en-GB"/>
              </w:rPr>
              <w:t>Francolinus francolinus billypayni</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Not consider</w:t>
            </w:r>
            <w:r w:rsidR="004153EC">
              <w:rPr>
                <w:rFonts w:ascii="Times New Roman" w:hAnsi="Times New Roman"/>
                <w:iCs/>
                <w:color w:val="000000"/>
                <w:sz w:val="18"/>
                <w:szCs w:val="18"/>
                <w:lang w:eastAsia="en-GB"/>
              </w:rPr>
              <w:t>e</w:t>
            </w:r>
            <w:r w:rsidRPr="007C2D00">
              <w:rPr>
                <w:rFonts w:ascii="Times New Roman" w:hAnsi="Times New Roman"/>
                <w:iCs/>
                <w:color w:val="000000"/>
                <w:sz w:val="18"/>
                <w:szCs w:val="18"/>
                <w:lang w:eastAsia="en-GB"/>
              </w:rPr>
              <w:t xml:space="preserve">d distinct from </w:t>
            </w:r>
            <w:r w:rsidRPr="007C2D00">
              <w:rPr>
                <w:rFonts w:ascii="Times New Roman" w:hAnsi="Times New Roman"/>
                <w:i/>
                <w:iCs/>
                <w:color w:val="000000"/>
                <w:sz w:val="18"/>
                <w:szCs w:val="18"/>
                <w:lang w:eastAsia="en-GB"/>
              </w:rPr>
              <w:t>F. f. francolinus</w:t>
            </w:r>
            <w:r w:rsidR="004153EC">
              <w:rPr>
                <w:rFonts w:ascii="Times New Roman" w:hAnsi="Times New Roman"/>
                <w:i/>
                <w:iCs/>
                <w:color w:val="000000"/>
                <w:sz w:val="18"/>
                <w:szCs w:val="18"/>
                <w:lang w:eastAsia="en-GB"/>
              </w:rPr>
              <w:t xml:space="preserve"> </w:t>
            </w:r>
            <w:r w:rsidRPr="007C2D00">
              <w:rPr>
                <w:rFonts w:ascii="Times New Roman" w:hAnsi="Times New Roman"/>
                <w:iCs/>
                <w:color w:val="000000"/>
                <w:sz w:val="18"/>
                <w:szCs w:val="18"/>
                <w:lang w:eastAsia="en-GB"/>
              </w:rPr>
              <w:t>by Dickinson (2003).</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
                <w:iCs/>
                <w:color w:val="000000"/>
                <w:sz w:val="18"/>
                <w:szCs w:val="18"/>
                <w:lang w:eastAsia="en-GB"/>
              </w:rPr>
            </w:pPr>
            <w:r w:rsidRPr="007C2D00">
              <w:rPr>
                <w:rFonts w:ascii="Times New Roman" w:hAnsi="Times New Roman"/>
                <w:bCs/>
                <w:iCs/>
                <w:color w:val="000000"/>
                <w:sz w:val="18"/>
                <w:szCs w:val="18"/>
                <w:lang w:eastAsia="en-GB"/>
              </w:rPr>
              <w:t xml:space="preserve">Double-banded Argus </w:t>
            </w:r>
            <w:r w:rsidRPr="007C2D00">
              <w:rPr>
                <w:rFonts w:ascii="Times New Roman" w:hAnsi="Times New Roman"/>
                <w:bCs/>
                <w:i/>
                <w:iCs/>
                <w:color w:val="000000"/>
                <w:sz w:val="18"/>
                <w:szCs w:val="18"/>
                <w:lang w:eastAsia="en-GB"/>
              </w:rPr>
              <w:t>Argusianus bipunctatus</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Pr>
                <w:rFonts w:ascii="Times New Roman" w:hAnsi="Times New Roman"/>
                <w:iCs/>
                <w:color w:val="000000"/>
                <w:sz w:val="18"/>
                <w:szCs w:val="18"/>
                <w:lang w:eastAsia="en-GB"/>
              </w:rPr>
              <w:t>Not</w:t>
            </w:r>
            <w:r w:rsidRPr="007C2D00">
              <w:rPr>
                <w:rFonts w:ascii="Times New Roman" w:hAnsi="Times New Roman"/>
                <w:iCs/>
                <w:color w:val="000000"/>
                <w:sz w:val="18"/>
                <w:szCs w:val="18"/>
                <w:lang w:eastAsia="en-GB"/>
              </w:rPr>
              <w:t xml:space="preserve"> recognised by BirdLife International following Davison and McGowan (2009).</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
                <w:iCs/>
                <w:color w:val="000000"/>
                <w:sz w:val="18"/>
                <w:szCs w:val="18"/>
                <w:lang w:eastAsia="en-GB"/>
              </w:rPr>
            </w:pPr>
            <w:r w:rsidRPr="007C2D00">
              <w:rPr>
                <w:rFonts w:ascii="Times New Roman" w:hAnsi="Times New Roman"/>
                <w:bCs/>
                <w:iCs/>
                <w:color w:val="000000"/>
                <w:sz w:val="18"/>
                <w:szCs w:val="18"/>
                <w:lang w:eastAsia="en-GB"/>
              </w:rPr>
              <w:t xml:space="preserve">Rennell Island Teal </w:t>
            </w:r>
            <w:r w:rsidRPr="007C2D00">
              <w:rPr>
                <w:rFonts w:ascii="Times New Roman" w:hAnsi="Times New Roman"/>
                <w:bCs/>
                <w:i/>
                <w:iCs/>
                <w:color w:val="000000"/>
                <w:sz w:val="18"/>
                <w:szCs w:val="18"/>
                <w:lang w:eastAsia="en-GB"/>
              </w:rPr>
              <w:t>Anas gracilis remissa</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Noted by Dickinson (2003) as not being distinct.</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
                <w:iCs/>
                <w:color w:val="000000"/>
                <w:sz w:val="18"/>
                <w:szCs w:val="18"/>
                <w:lang w:eastAsia="en-GB"/>
              </w:rPr>
            </w:pPr>
            <w:r w:rsidRPr="007C2D00">
              <w:rPr>
                <w:rFonts w:ascii="Times New Roman" w:hAnsi="Times New Roman"/>
                <w:bCs/>
                <w:iCs/>
                <w:color w:val="000000"/>
                <w:sz w:val="18"/>
                <w:szCs w:val="18"/>
                <w:lang w:eastAsia="en-GB"/>
              </w:rPr>
              <w:t>Tristram’s Pintail</w:t>
            </w:r>
            <w:r w:rsidRPr="007C2D00">
              <w:rPr>
                <w:rFonts w:ascii="Times New Roman" w:hAnsi="Times New Roman"/>
                <w:bCs/>
                <w:i/>
                <w:iCs/>
                <w:color w:val="000000"/>
                <w:sz w:val="18"/>
                <w:szCs w:val="18"/>
                <w:lang w:eastAsia="en-GB"/>
              </w:rPr>
              <w:t>Anas acuta modesta</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
                <w:iCs/>
                <w:color w:val="000000"/>
                <w:sz w:val="18"/>
                <w:szCs w:val="18"/>
                <w:lang w:eastAsia="en-GB"/>
              </w:rPr>
            </w:pPr>
            <w:r w:rsidRPr="007C2D00">
              <w:rPr>
                <w:rFonts w:ascii="Times New Roman" w:hAnsi="Times New Roman"/>
                <w:bCs/>
                <w:iCs/>
                <w:color w:val="000000"/>
                <w:sz w:val="18"/>
                <w:szCs w:val="18"/>
                <w:lang w:eastAsia="en-GB"/>
              </w:rPr>
              <w:t xml:space="preserve">Mariana Mallard </w:t>
            </w:r>
            <w:r w:rsidRPr="007C2D00">
              <w:rPr>
                <w:rFonts w:ascii="Times New Roman" w:hAnsi="Times New Roman"/>
                <w:bCs/>
                <w:i/>
                <w:iCs/>
                <w:color w:val="000000"/>
                <w:sz w:val="18"/>
                <w:szCs w:val="18"/>
                <w:lang w:eastAsia="en-GB"/>
              </w:rPr>
              <w:t xml:space="preserve">Anas oustaleti  </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 xml:space="preserve">Considered to be a hybrid between Mallard </w:t>
            </w:r>
            <w:r w:rsidRPr="007C2D00">
              <w:rPr>
                <w:rFonts w:ascii="Times New Roman" w:hAnsi="Times New Roman"/>
                <w:i/>
                <w:iCs/>
                <w:color w:val="000000"/>
                <w:sz w:val="18"/>
                <w:szCs w:val="18"/>
                <w:lang w:eastAsia="en-GB"/>
              </w:rPr>
              <w:t>A. platyrhynchos</w:t>
            </w:r>
            <w:r w:rsidRPr="007C2D00">
              <w:rPr>
                <w:rFonts w:ascii="Times New Roman" w:hAnsi="Times New Roman"/>
                <w:iCs/>
                <w:color w:val="000000"/>
                <w:sz w:val="18"/>
                <w:szCs w:val="18"/>
                <w:lang w:eastAsia="en-GB"/>
              </w:rPr>
              <w:t xml:space="preserve"> and Pacific Black Duck </w:t>
            </w:r>
            <w:r w:rsidRPr="007C2D00">
              <w:rPr>
                <w:rFonts w:ascii="Times New Roman" w:hAnsi="Times New Roman"/>
                <w:i/>
                <w:iCs/>
                <w:color w:val="000000"/>
                <w:sz w:val="18"/>
                <w:szCs w:val="18"/>
                <w:lang w:eastAsia="en-GB"/>
              </w:rPr>
              <w:t>A. superciliosa</w:t>
            </w:r>
            <w:r w:rsidRPr="007C2D00">
              <w:rPr>
                <w:rFonts w:ascii="Times New Roman" w:hAnsi="Times New Roman"/>
                <w:iCs/>
                <w:color w:val="000000"/>
                <w:sz w:val="18"/>
                <w:szCs w:val="18"/>
                <w:lang w:eastAsia="en-GB"/>
              </w:rPr>
              <w:t xml:space="preserve"> by BirdLife International (2011).</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Cs/>
                <w:color w:val="000000"/>
                <w:sz w:val="18"/>
                <w:szCs w:val="18"/>
                <w:lang w:eastAsia="en-GB"/>
              </w:rPr>
            </w:pPr>
            <w:r w:rsidRPr="007C2D00">
              <w:rPr>
                <w:rFonts w:ascii="Times New Roman" w:hAnsi="Times New Roman"/>
                <w:bCs/>
                <w:iCs/>
                <w:color w:val="000000"/>
                <w:sz w:val="18"/>
                <w:szCs w:val="18"/>
                <w:lang w:eastAsia="en-GB"/>
              </w:rPr>
              <w:t>Levant Darter</w:t>
            </w:r>
            <w:r w:rsidRPr="007C2D00">
              <w:rPr>
                <w:rFonts w:ascii="Times New Roman" w:hAnsi="Times New Roman"/>
                <w:bCs/>
                <w:i/>
                <w:iCs/>
                <w:color w:val="000000"/>
                <w:sz w:val="18"/>
                <w:szCs w:val="18"/>
                <w:lang w:eastAsia="en-GB"/>
              </w:rPr>
              <w:t>Anhinga rufa chantrei</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
                <w:iCs/>
                <w:color w:val="000000"/>
                <w:sz w:val="18"/>
                <w:szCs w:val="18"/>
                <w:lang w:eastAsia="en-GB"/>
              </w:rPr>
            </w:pPr>
            <w:r w:rsidRPr="007C2D00">
              <w:rPr>
                <w:rFonts w:ascii="Times New Roman" w:hAnsi="Times New Roman"/>
                <w:bCs/>
                <w:iCs/>
                <w:color w:val="000000"/>
                <w:sz w:val="18"/>
                <w:szCs w:val="18"/>
                <w:lang w:eastAsia="en-GB"/>
              </w:rPr>
              <w:t xml:space="preserve">Sharpe’s Rail </w:t>
            </w:r>
            <w:r w:rsidRPr="007C2D00">
              <w:rPr>
                <w:rFonts w:ascii="Times New Roman" w:hAnsi="Times New Roman"/>
                <w:bCs/>
                <w:i/>
                <w:iCs/>
                <w:color w:val="000000"/>
                <w:sz w:val="18"/>
                <w:szCs w:val="18"/>
                <w:lang w:eastAsia="en-GB"/>
              </w:rPr>
              <w:t xml:space="preserve">Gallirallus sharpei  </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 xml:space="preserve">Considered most likely to have been a colour morph of Buff-banded Rail </w:t>
            </w:r>
            <w:r w:rsidRPr="007C2D00">
              <w:rPr>
                <w:rFonts w:ascii="Times New Roman" w:hAnsi="Times New Roman"/>
                <w:i/>
                <w:iCs/>
                <w:color w:val="000000"/>
                <w:sz w:val="18"/>
                <w:szCs w:val="18"/>
                <w:lang w:eastAsia="en-GB"/>
              </w:rPr>
              <w:t>G. philippensis</w:t>
            </w:r>
            <w:r w:rsidRPr="007C2D00">
              <w:rPr>
                <w:rFonts w:ascii="Times New Roman" w:hAnsi="Times New Roman"/>
                <w:iCs/>
                <w:color w:val="000000"/>
                <w:sz w:val="18"/>
                <w:szCs w:val="18"/>
                <w:lang w:eastAsia="en-GB"/>
              </w:rPr>
              <w:t xml:space="preserve"> (BirdLife International 2011).</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Cs/>
                <w:color w:val="000000"/>
                <w:sz w:val="18"/>
                <w:szCs w:val="18"/>
                <w:lang w:eastAsia="en-GB"/>
              </w:rPr>
            </w:pPr>
            <w:r w:rsidRPr="007C2D00">
              <w:rPr>
                <w:rFonts w:ascii="Times New Roman" w:hAnsi="Times New Roman"/>
                <w:bCs/>
                <w:iCs/>
                <w:color w:val="000000"/>
                <w:sz w:val="18"/>
                <w:szCs w:val="18"/>
                <w:lang w:eastAsia="en-GB"/>
              </w:rPr>
              <w:t xml:space="preserve">Intact Rail </w:t>
            </w:r>
            <w:r w:rsidRPr="007C2D00">
              <w:rPr>
                <w:rFonts w:ascii="Times New Roman" w:hAnsi="Times New Roman"/>
                <w:bCs/>
                <w:i/>
                <w:iCs/>
                <w:color w:val="000000"/>
                <w:sz w:val="18"/>
                <w:szCs w:val="18"/>
                <w:lang w:eastAsia="en-GB"/>
              </w:rPr>
              <w:t>Gymnocrex plumbeiventris intactus</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p>
        </w:tc>
      </w:tr>
      <w:tr w:rsidR="00A3797F" w:rsidRPr="007C2D00" w:rsidTr="007C2D00">
        <w:trPr>
          <w:trHeight w:val="225"/>
        </w:trPr>
        <w:tc>
          <w:tcPr>
            <w:tcW w:w="5353" w:type="dxa"/>
            <w:noWrap/>
          </w:tcPr>
          <w:p w:rsidR="00A3797F" w:rsidRPr="00D26A35" w:rsidRDefault="00A3797F" w:rsidP="007C2D00">
            <w:pPr>
              <w:spacing w:before="120" w:after="0" w:line="240" w:lineRule="auto"/>
              <w:rPr>
                <w:rFonts w:ascii="Times New Roman" w:hAnsi="Times New Roman"/>
                <w:b/>
                <w:bCs/>
                <w:iCs/>
                <w:color w:val="000000"/>
                <w:sz w:val="18"/>
                <w:szCs w:val="18"/>
                <w:lang w:val="it-IT" w:eastAsia="en-GB"/>
              </w:rPr>
            </w:pPr>
            <w:r w:rsidRPr="00D26A35">
              <w:rPr>
                <w:rFonts w:ascii="Times New Roman" w:hAnsi="Times New Roman"/>
                <w:bCs/>
                <w:iCs/>
                <w:color w:val="000000"/>
                <w:sz w:val="18"/>
                <w:szCs w:val="18"/>
                <w:lang w:val="it-IT" w:eastAsia="en-GB"/>
              </w:rPr>
              <w:t xml:space="preserve">Iwo-jima Rail </w:t>
            </w:r>
            <w:r w:rsidRPr="00D26A35">
              <w:rPr>
                <w:rFonts w:ascii="Times New Roman" w:hAnsi="Times New Roman"/>
                <w:bCs/>
                <w:i/>
                <w:iCs/>
                <w:color w:val="000000"/>
                <w:sz w:val="18"/>
                <w:szCs w:val="18"/>
                <w:lang w:val="it-IT" w:eastAsia="en-GB"/>
              </w:rPr>
              <w:t>Porzana cinerea brevipes</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Noted by Dickinson (2003) as not being distinct.</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
                <w:iCs/>
                <w:color w:val="000000"/>
                <w:sz w:val="18"/>
                <w:szCs w:val="18"/>
                <w:lang w:eastAsia="en-GB"/>
              </w:rPr>
            </w:pPr>
            <w:r w:rsidRPr="007C2D00">
              <w:rPr>
                <w:rFonts w:ascii="Times New Roman" w:hAnsi="Times New Roman"/>
                <w:bCs/>
                <w:iCs/>
                <w:color w:val="000000"/>
                <w:sz w:val="18"/>
                <w:szCs w:val="18"/>
                <w:lang w:eastAsia="en-GB"/>
              </w:rPr>
              <w:t xml:space="preserve">Luzon Sarus Crane </w:t>
            </w:r>
            <w:r w:rsidRPr="007C2D00">
              <w:rPr>
                <w:rFonts w:ascii="Times New Roman" w:hAnsi="Times New Roman"/>
                <w:bCs/>
                <w:i/>
                <w:iCs/>
                <w:color w:val="000000"/>
                <w:sz w:val="18"/>
                <w:szCs w:val="18"/>
                <w:lang w:eastAsia="en-GB"/>
              </w:rPr>
              <w:t>Grus antigone luzonica</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 xml:space="preserve">Not considered distinct from </w:t>
            </w:r>
            <w:r w:rsidRPr="007C2D00">
              <w:rPr>
                <w:rFonts w:ascii="Times New Roman" w:hAnsi="Times New Roman"/>
                <w:i/>
                <w:iCs/>
                <w:color w:val="000000"/>
                <w:sz w:val="18"/>
                <w:szCs w:val="18"/>
                <w:lang w:eastAsia="en-GB"/>
              </w:rPr>
              <w:t>G. a. sharpei</w:t>
            </w:r>
            <w:r w:rsidRPr="007C2D00">
              <w:rPr>
                <w:rFonts w:ascii="Times New Roman" w:hAnsi="Times New Roman"/>
                <w:iCs/>
                <w:color w:val="000000"/>
                <w:sz w:val="18"/>
                <w:szCs w:val="18"/>
                <w:lang w:eastAsia="en-GB"/>
              </w:rPr>
              <w:t xml:space="preserve"> by Dickinson (2003).</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
                <w:iCs/>
                <w:color w:val="000000"/>
                <w:sz w:val="18"/>
                <w:szCs w:val="18"/>
                <w:lang w:eastAsia="en-GB"/>
              </w:rPr>
            </w:pPr>
            <w:r w:rsidRPr="007C2D00">
              <w:rPr>
                <w:rFonts w:ascii="Times New Roman" w:hAnsi="Times New Roman"/>
                <w:bCs/>
                <w:iCs/>
                <w:color w:val="000000"/>
                <w:sz w:val="18"/>
                <w:szCs w:val="18"/>
                <w:lang w:eastAsia="en-GB"/>
              </w:rPr>
              <w:t xml:space="preserve">Ebon Island Fruit-dove </w:t>
            </w:r>
            <w:r w:rsidRPr="007C2D00">
              <w:rPr>
                <w:rFonts w:ascii="Times New Roman" w:hAnsi="Times New Roman"/>
                <w:bCs/>
                <w:i/>
                <w:iCs/>
                <w:color w:val="000000"/>
                <w:sz w:val="18"/>
                <w:szCs w:val="18"/>
                <w:lang w:eastAsia="en-GB"/>
              </w:rPr>
              <w:t>Ptilinopus porphyraceus marshallianus</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p>
        </w:tc>
      </w:tr>
      <w:tr w:rsidR="00A3797F" w:rsidRPr="00A3797F" w:rsidTr="007C2D00">
        <w:trPr>
          <w:trHeight w:val="225"/>
        </w:trPr>
        <w:tc>
          <w:tcPr>
            <w:tcW w:w="5353" w:type="dxa"/>
            <w:noWrap/>
          </w:tcPr>
          <w:p w:rsidR="00A3797F" w:rsidRPr="00D26A35" w:rsidRDefault="00A3797F" w:rsidP="007C2D00">
            <w:pPr>
              <w:spacing w:before="120" w:after="0" w:line="240" w:lineRule="auto"/>
              <w:rPr>
                <w:rFonts w:ascii="Times New Roman" w:hAnsi="Times New Roman"/>
                <w:b/>
                <w:bCs/>
                <w:i/>
                <w:iCs/>
                <w:color w:val="000000"/>
                <w:sz w:val="18"/>
                <w:szCs w:val="18"/>
                <w:lang w:val="es-ES" w:eastAsia="en-GB"/>
              </w:rPr>
            </w:pPr>
            <w:r w:rsidRPr="00D26A35">
              <w:rPr>
                <w:rFonts w:ascii="Times New Roman" w:hAnsi="Times New Roman"/>
                <w:bCs/>
                <w:iCs/>
                <w:color w:val="000000"/>
                <w:sz w:val="18"/>
                <w:szCs w:val="18"/>
                <w:lang w:val="es-ES" w:eastAsia="en-GB"/>
              </w:rPr>
              <w:t xml:space="preserve">Aruba Amazon </w:t>
            </w:r>
            <w:r w:rsidRPr="00D26A35">
              <w:rPr>
                <w:rFonts w:ascii="Times New Roman" w:hAnsi="Times New Roman"/>
                <w:bCs/>
                <w:i/>
                <w:iCs/>
                <w:color w:val="000000"/>
                <w:sz w:val="18"/>
                <w:szCs w:val="18"/>
                <w:lang w:val="es-ES" w:eastAsia="en-GB"/>
              </w:rPr>
              <w:t>Amazona barbadensis canifrons</w:t>
            </w:r>
          </w:p>
        </w:tc>
        <w:tc>
          <w:tcPr>
            <w:tcW w:w="8505" w:type="dxa"/>
          </w:tcPr>
          <w:p w:rsidR="00A3797F" w:rsidRPr="00D26A35" w:rsidRDefault="00A3797F" w:rsidP="007C2D00">
            <w:pPr>
              <w:spacing w:before="120" w:after="0" w:line="240" w:lineRule="auto"/>
              <w:rPr>
                <w:rFonts w:ascii="Times New Roman" w:hAnsi="Times New Roman"/>
                <w:iCs/>
                <w:color w:val="000000"/>
                <w:sz w:val="18"/>
                <w:szCs w:val="18"/>
                <w:lang w:val="es-ES" w:eastAsia="en-GB"/>
              </w:rPr>
            </w:pP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Cs/>
                <w:color w:val="000000"/>
                <w:sz w:val="18"/>
                <w:szCs w:val="18"/>
                <w:lang w:eastAsia="en-GB"/>
              </w:rPr>
            </w:pPr>
            <w:r w:rsidRPr="007C2D00">
              <w:rPr>
                <w:rFonts w:ascii="Times New Roman" w:hAnsi="Times New Roman"/>
                <w:bCs/>
                <w:iCs/>
                <w:color w:val="000000"/>
                <w:sz w:val="18"/>
                <w:szCs w:val="18"/>
                <w:lang w:eastAsia="en-GB"/>
              </w:rPr>
              <w:t xml:space="preserve">Miyako Island Kingfisher </w:t>
            </w:r>
            <w:r w:rsidRPr="007C2D00">
              <w:rPr>
                <w:rFonts w:ascii="Times New Roman" w:hAnsi="Times New Roman"/>
                <w:bCs/>
                <w:i/>
                <w:iCs/>
                <w:color w:val="000000"/>
                <w:sz w:val="18"/>
                <w:szCs w:val="18"/>
                <w:lang w:eastAsia="en-GB"/>
              </w:rPr>
              <w:t>Todiramphus cinnamominus miyakoensis</w:t>
            </w:r>
            <w:r w:rsidRPr="007C2D00">
              <w:rPr>
                <w:rFonts w:ascii="Times New Roman" w:hAnsi="Times New Roman"/>
                <w:bCs/>
                <w:iCs/>
                <w:color w:val="000000"/>
                <w:sz w:val="18"/>
                <w:szCs w:val="18"/>
                <w:lang w:eastAsia="en-GB"/>
              </w:rPr>
              <w:t>*</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 xml:space="preserve">Only known from the type specimen, which is now thought to be from Guam, where the nominate </w:t>
            </w:r>
            <w:r w:rsidR="004153EC">
              <w:rPr>
                <w:rFonts w:ascii="Times New Roman" w:hAnsi="Times New Roman"/>
                <w:iCs/>
                <w:color w:val="000000"/>
                <w:sz w:val="18"/>
                <w:szCs w:val="18"/>
                <w:lang w:eastAsia="en-GB"/>
              </w:rPr>
              <w:t xml:space="preserve">form </w:t>
            </w:r>
            <w:r w:rsidRPr="007C2D00">
              <w:rPr>
                <w:rFonts w:ascii="Times New Roman" w:hAnsi="Times New Roman"/>
                <w:iCs/>
                <w:color w:val="000000"/>
                <w:sz w:val="18"/>
                <w:szCs w:val="18"/>
                <w:lang w:eastAsia="en-GB"/>
              </w:rPr>
              <w:t>was found, rather than Miyako, and hence</w:t>
            </w:r>
            <w:r w:rsidRPr="007C2D00">
              <w:rPr>
                <w:rFonts w:ascii="Times New Roman" w:hAnsi="Times New Roman"/>
                <w:i/>
                <w:iCs/>
                <w:color w:val="000000"/>
                <w:sz w:val="18"/>
                <w:szCs w:val="18"/>
                <w:lang w:eastAsia="en-GB"/>
              </w:rPr>
              <w:t>miyakoensis</w:t>
            </w:r>
            <w:r w:rsidRPr="007C2D00">
              <w:rPr>
                <w:rFonts w:ascii="Times New Roman" w:hAnsi="Times New Roman"/>
                <w:iCs/>
                <w:color w:val="000000"/>
                <w:sz w:val="18"/>
                <w:szCs w:val="18"/>
                <w:lang w:eastAsia="en-GB"/>
              </w:rPr>
              <w:t xml:space="preserve"> is likely invalid (D. Allen </w:t>
            </w:r>
            <w:r w:rsidRPr="007C2D00">
              <w:rPr>
                <w:rFonts w:ascii="Times New Roman" w:hAnsi="Times New Roman"/>
                <w:i/>
                <w:iCs/>
                <w:color w:val="000000"/>
                <w:sz w:val="18"/>
                <w:szCs w:val="18"/>
                <w:lang w:eastAsia="en-GB"/>
              </w:rPr>
              <w:t>in litt.</w:t>
            </w:r>
            <w:r w:rsidRPr="007C2D00">
              <w:rPr>
                <w:rFonts w:ascii="Times New Roman" w:hAnsi="Times New Roman"/>
                <w:iCs/>
                <w:color w:val="000000"/>
                <w:sz w:val="18"/>
                <w:szCs w:val="18"/>
                <w:lang w:eastAsia="en-GB"/>
              </w:rPr>
              <w:t xml:space="preserve"> 2011).</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Cs/>
                <w:color w:val="000000"/>
                <w:sz w:val="18"/>
                <w:szCs w:val="18"/>
                <w:lang w:eastAsia="en-GB"/>
              </w:rPr>
            </w:pPr>
            <w:r w:rsidRPr="007C2D00">
              <w:rPr>
                <w:rFonts w:ascii="Times New Roman" w:hAnsi="Times New Roman"/>
                <w:bCs/>
                <w:iCs/>
                <w:color w:val="000000"/>
                <w:sz w:val="18"/>
                <w:szCs w:val="18"/>
                <w:lang w:eastAsia="en-GB"/>
              </w:rPr>
              <w:t xml:space="preserve">North Island Stitchbird </w:t>
            </w:r>
            <w:r w:rsidRPr="007C2D00">
              <w:rPr>
                <w:rFonts w:ascii="Times New Roman" w:hAnsi="Times New Roman"/>
                <w:bCs/>
                <w:i/>
                <w:iCs/>
                <w:color w:val="000000"/>
                <w:sz w:val="18"/>
                <w:szCs w:val="18"/>
                <w:lang w:eastAsia="en-GB"/>
              </w:rPr>
              <w:t xml:space="preserve">Notiomystis cincta cincta </w:t>
            </w:r>
            <w:r w:rsidRPr="007C2D00">
              <w:rPr>
                <w:rFonts w:ascii="Times New Roman" w:hAnsi="Times New Roman"/>
                <w:bCs/>
                <w:iCs/>
                <w:color w:val="000000"/>
                <w:sz w:val="18"/>
                <w:szCs w:val="18"/>
                <w:lang w:eastAsia="en-GB"/>
              </w:rPr>
              <w:t xml:space="preserve">* </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Not recognised</w:t>
            </w:r>
            <w:r w:rsidR="004153EC">
              <w:rPr>
                <w:rFonts w:ascii="Times New Roman" w:hAnsi="Times New Roman"/>
                <w:iCs/>
                <w:color w:val="000000"/>
                <w:sz w:val="18"/>
                <w:szCs w:val="18"/>
                <w:lang w:eastAsia="en-GB"/>
              </w:rPr>
              <w:t xml:space="preserve"> </w:t>
            </w:r>
            <w:r w:rsidRPr="007C2D00">
              <w:rPr>
                <w:rFonts w:ascii="Times New Roman" w:hAnsi="Times New Roman"/>
                <w:iCs/>
                <w:color w:val="000000"/>
                <w:sz w:val="18"/>
                <w:szCs w:val="18"/>
                <w:lang w:eastAsia="en-GB"/>
              </w:rPr>
              <w:t>following Higgins and Christidis (2009) who describe overlap in characters.</w:t>
            </w: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
                <w:iCs/>
                <w:color w:val="000000"/>
                <w:sz w:val="18"/>
                <w:szCs w:val="18"/>
                <w:lang w:eastAsia="en-GB"/>
              </w:rPr>
            </w:pPr>
            <w:r w:rsidRPr="007C2D00">
              <w:rPr>
                <w:rFonts w:ascii="Times New Roman" w:hAnsi="Times New Roman"/>
                <w:bCs/>
                <w:iCs/>
                <w:color w:val="000000"/>
                <w:sz w:val="18"/>
                <w:szCs w:val="18"/>
                <w:lang w:eastAsia="en-GB"/>
              </w:rPr>
              <w:t xml:space="preserve">Meinertzhagen’s Warbler </w:t>
            </w:r>
            <w:r w:rsidRPr="007C2D00">
              <w:rPr>
                <w:rFonts w:ascii="Times New Roman" w:hAnsi="Times New Roman"/>
                <w:bCs/>
                <w:i/>
                <w:iCs/>
                <w:color w:val="000000"/>
                <w:sz w:val="18"/>
                <w:szCs w:val="18"/>
                <w:lang w:eastAsia="en-GB"/>
              </w:rPr>
              <w:t xml:space="preserve">Sylvia deserticola ticehursti </w:t>
            </w:r>
            <w:r w:rsidRPr="007C2D00">
              <w:rPr>
                <w:rFonts w:ascii="Times New Roman" w:hAnsi="Times New Roman"/>
                <w:bCs/>
                <w:iCs/>
                <w:color w:val="000000"/>
                <w:sz w:val="18"/>
                <w:szCs w:val="18"/>
                <w:lang w:eastAsia="en-GB"/>
              </w:rPr>
              <w:t xml:space="preserve">* </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r w:rsidRPr="007C2D00">
              <w:rPr>
                <w:rFonts w:ascii="Times New Roman" w:hAnsi="Times New Roman"/>
                <w:iCs/>
                <w:color w:val="000000"/>
                <w:sz w:val="18"/>
                <w:szCs w:val="18"/>
                <w:lang w:eastAsia="en-GB"/>
              </w:rPr>
              <w:t xml:space="preserve">Recent evidence indicates it is not distinct from the extant </w:t>
            </w:r>
            <w:r w:rsidRPr="007C2D00">
              <w:rPr>
                <w:rFonts w:ascii="Times New Roman" w:hAnsi="Times New Roman"/>
                <w:i/>
                <w:iCs/>
                <w:color w:val="000000"/>
                <w:sz w:val="18"/>
                <w:szCs w:val="18"/>
                <w:lang w:eastAsia="en-GB"/>
              </w:rPr>
              <w:t>S. d. maroccana</w:t>
            </w:r>
            <w:r w:rsidRPr="007C2D00">
              <w:rPr>
                <w:rFonts w:ascii="Times New Roman" w:hAnsi="Times New Roman"/>
                <w:iCs/>
                <w:color w:val="000000"/>
                <w:sz w:val="18"/>
                <w:szCs w:val="18"/>
                <w:lang w:eastAsia="en-GB"/>
              </w:rPr>
              <w:t xml:space="preserve"> (Bairlein et al. 2006)</w:t>
            </w:r>
            <w:r w:rsidR="004153EC">
              <w:rPr>
                <w:rFonts w:ascii="Times New Roman" w:hAnsi="Times New Roman"/>
                <w:iCs/>
                <w:color w:val="000000"/>
                <w:sz w:val="18"/>
                <w:szCs w:val="18"/>
                <w:lang w:eastAsia="en-GB"/>
              </w:rPr>
              <w:t>.</w:t>
            </w:r>
          </w:p>
        </w:tc>
      </w:tr>
      <w:tr w:rsidR="00A3797F" w:rsidRPr="007C2D00" w:rsidTr="007C2D00">
        <w:trPr>
          <w:trHeight w:val="225"/>
        </w:trPr>
        <w:tc>
          <w:tcPr>
            <w:tcW w:w="5353" w:type="dxa"/>
            <w:noWrap/>
          </w:tcPr>
          <w:p w:rsidR="00A3797F" w:rsidRPr="007C2D00" w:rsidRDefault="00A3797F" w:rsidP="007C2D00">
            <w:pPr>
              <w:spacing w:before="120" w:after="0" w:line="240" w:lineRule="auto"/>
              <w:rPr>
                <w:b/>
                <w:bCs/>
                <w:color w:val="000000"/>
                <w:sz w:val="18"/>
                <w:szCs w:val="18"/>
              </w:rPr>
            </w:pPr>
            <w:r w:rsidRPr="007C2D00">
              <w:rPr>
                <w:rFonts w:ascii="Times New Roman" w:hAnsi="Times New Roman"/>
                <w:bCs/>
                <w:iCs/>
                <w:color w:val="000000"/>
                <w:sz w:val="18"/>
                <w:szCs w:val="18"/>
                <w:lang w:eastAsia="en-GB"/>
              </w:rPr>
              <w:t xml:space="preserve">Daito Winter Wren </w:t>
            </w:r>
            <w:r w:rsidRPr="007C2D00">
              <w:rPr>
                <w:rFonts w:ascii="Times New Roman" w:hAnsi="Times New Roman"/>
                <w:bCs/>
                <w:i/>
                <w:iCs/>
                <w:color w:val="000000"/>
                <w:sz w:val="18"/>
                <w:szCs w:val="18"/>
                <w:lang w:eastAsia="en-GB"/>
              </w:rPr>
              <w:t>Troglodytes troglodytes orii</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p>
        </w:tc>
      </w:tr>
      <w:tr w:rsidR="00A3797F" w:rsidRPr="007C2D00" w:rsidTr="007C2D00">
        <w:trPr>
          <w:trHeight w:val="225"/>
        </w:trPr>
        <w:tc>
          <w:tcPr>
            <w:tcW w:w="5353" w:type="dxa"/>
            <w:noWrap/>
          </w:tcPr>
          <w:p w:rsidR="00A3797F" w:rsidRPr="007C2D00" w:rsidRDefault="00A3797F" w:rsidP="007C2D00">
            <w:pPr>
              <w:spacing w:before="120" w:after="0" w:line="240" w:lineRule="auto"/>
              <w:rPr>
                <w:rFonts w:ascii="Times New Roman" w:hAnsi="Times New Roman"/>
                <w:b/>
                <w:bCs/>
                <w:iCs/>
                <w:color w:val="000000"/>
                <w:sz w:val="18"/>
                <w:szCs w:val="18"/>
                <w:lang w:eastAsia="en-GB"/>
              </w:rPr>
            </w:pPr>
            <w:r w:rsidRPr="007C2D00">
              <w:rPr>
                <w:rFonts w:ascii="Times New Roman" w:hAnsi="Times New Roman"/>
                <w:bCs/>
                <w:iCs/>
                <w:color w:val="000000"/>
                <w:sz w:val="18"/>
                <w:szCs w:val="18"/>
                <w:lang w:eastAsia="en-GB"/>
              </w:rPr>
              <w:t xml:space="preserve">Yakushima Seven Island Thrush </w:t>
            </w:r>
            <w:r w:rsidRPr="007C2D00">
              <w:rPr>
                <w:rFonts w:ascii="Times New Roman" w:hAnsi="Times New Roman"/>
                <w:bCs/>
                <w:i/>
                <w:iCs/>
                <w:color w:val="000000"/>
                <w:sz w:val="18"/>
                <w:szCs w:val="18"/>
                <w:lang w:eastAsia="en-GB"/>
              </w:rPr>
              <w:t>Turdus celaenops yakushimensis</w:t>
            </w:r>
          </w:p>
        </w:tc>
        <w:tc>
          <w:tcPr>
            <w:tcW w:w="8505" w:type="dxa"/>
          </w:tcPr>
          <w:p w:rsidR="00A3797F" w:rsidRPr="007C2D00" w:rsidRDefault="00A3797F" w:rsidP="007C2D00">
            <w:pPr>
              <w:spacing w:before="120" w:after="0" w:line="240" w:lineRule="auto"/>
              <w:rPr>
                <w:rFonts w:ascii="Times New Roman" w:hAnsi="Times New Roman"/>
                <w:iCs/>
                <w:color w:val="000000"/>
                <w:sz w:val="18"/>
                <w:szCs w:val="18"/>
                <w:lang w:eastAsia="en-GB"/>
              </w:rPr>
            </w:pPr>
          </w:p>
        </w:tc>
      </w:tr>
      <w:tr w:rsidR="00A3797F" w:rsidRPr="007C2D00" w:rsidTr="007C2D00">
        <w:trPr>
          <w:trHeight w:val="225"/>
        </w:trPr>
        <w:tc>
          <w:tcPr>
            <w:tcW w:w="5353" w:type="dxa"/>
            <w:tcBorders>
              <w:bottom w:val="single" w:sz="8" w:space="0" w:color="000000"/>
            </w:tcBorders>
            <w:noWrap/>
          </w:tcPr>
          <w:p w:rsidR="00A3797F" w:rsidRPr="007C2D00" w:rsidRDefault="00A3797F" w:rsidP="007C2D00">
            <w:pPr>
              <w:spacing w:before="120" w:after="0" w:line="240" w:lineRule="auto"/>
              <w:rPr>
                <w:rFonts w:ascii="Times New Roman" w:hAnsi="Times New Roman"/>
                <w:b/>
                <w:bCs/>
                <w:i/>
                <w:iCs/>
                <w:color w:val="000000"/>
                <w:sz w:val="18"/>
                <w:szCs w:val="18"/>
                <w:lang w:eastAsia="en-GB"/>
              </w:rPr>
            </w:pPr>
            <w:r w:rsidRPr="007C2D00">
              <w:rPr>
                <w:rFonts w:ascii="Times New Roman" w:hAnsi="Times New Roman"/>
                <w:bCs/>
                <w:iCs/>
                <w:color w:val="000000"/>
                <w:sz w:val="18"/>
                <w:szCs w:val="18"/>
                <w:lang w:eastAsia="en-GB"/>
              </w:rPr>
              <w:t xml:space="preserve">Darwin’s Large Ground-finch </w:t>
            </w:r>
            <w:r w:rsidRPr="007C2D00">
              <w:rPr>
                <w:rFonts w:ascii="Times New Roman" w:hAnsi="Times New Roman"/>
                <w:bCs/>
                <w:i/>
                <w:iCs/>
                <w:color w:val="000000"/>
                <w:sz w:val="18"/>
                <w:szCs w:val="18"/>
                <w:lang w:eastAsia="en-GB"/>
              </w:rPr>
              <w:t>Geospiza magnirostris magnirostris</w:t>
            </w:r>
          </w:p>
        </w:tc>
        <w:tc>
          <w:tcPr>
            <w:tcW w:w="8505" w:type="dxa"/>
            <w:tcBorders>
              <w:bottom w:val="single" w:sz="8" w:space="0" w:color="000000"/>
            </w:tcBorders>
          </w:tcPr>
          <w:p w:rsidR="00A3797F" w:rsidRPr="007C2D00" w:rsidRDefault="00A3797F" w:rsidP="007C2D00">
            <w:pPr>
              <w:spacing w:before="120" w:after="0" w:line="240" w:lineRule="auto"/>
              <w:rPr>
                <w:rFonts w:ascii="Times New Roman" w:hAnsi="Times New Roman"/>
                <w:iCs/>
                <w:color w:val="000000"/>
                <w:sz w:val="18"/>
                <w:szCs w:val="18"/>
                <w:lang w:eastAsia="en-GB"/>
              </w:rPr>
            </w:pPr>
          </w:p>
        </w:tc>
      </w:tr>
    </w:tbl>
    <w:p w:rsidR="00A3797F" w:rsidRPr="001B26AE" w:rsidRDefault="00A3797F" w:rsidP="004E1151">
      <w:pPr>
        <w:spacing w:after="0"/>
        <w:rPr>
          <w:rFonts w:ascii="Times New Roman" w:hAnsi="Times New Roman"/>
          <w:sz w:val="24"/>
          <w:szCs w:val="24"/>
        </w:rPr>
      </w:pPr>
      <w:r>
        <w:rPr>
          <w:rFonts w:ascii="Times New Roman" w:hAnsi="Times New Roman"/>
          <w:sz w:val="24"/>
          <w:szCs w:val="24"/>
        </w:rPr>
        <w:t xml:space="preserve">Table </w:t>
      </w:r>
      <w:r w:rsidR="00C06FCC">
        <w:rPr>
          <w:rFonts w:ascii="Times New Roman" w:hAnsi="Times New Roman"/>
          <w:sz w:val="24"/>
          <w:szCs w:val="24"/>
        </w:rPr>
        <w:t>S</w:t>
      </w:r>
      <w:r>
        <w:rPr>
          <w:rFonts w:ascii="Times New Roman" w:hAnsi="Times New Roman"/>
          <w:sz w:val="24"/>
          <w:szCs w:val="24"/>
        </w:rPr>
        <w:t>2. Avian taxa considered extinct and recognised taxonomically by other authors but not by BirdLife International (2011) for species or Dickinson (2003) for subspecies. Asterisks indicate four subspecies that are recognised by Dickinson (2003) but were excluded in this study, with explanations given in the notes</w:t>
      </w:r>
      <w:r w:rsidR="00C06FCC">
        <w:rPr>
          <w:rFonts w:ascii="Times New Roman" w:hAnsi="Times New Roman"/>
          <w:vanish/>
          <w:sz w:val="24"/>
          <w:szCs w:val="24"/>
        </w:rPr>
        <w:t xml:space="preserve"> </w:t>
      </w:r>
      <w:r>
        <w:rPr>
          <w:rFonts w:ascii="Times New Roman" w:hAnsi="Times New Roman"/>
          <w:vanish/>
          <w:sz w:val="24"/>
          <w:szCs w:val="24"/>
        </w:rPr>
        <w:t>(Supplementary Table 3). e been considered extinct by other authors, but are regarded as extant</w:t>
      </w:r>
      <w:r w:rsidR="00C06FCC">
        <w:rPr>
          <w:rFonts w:ascii="Times New Roman" w:hAnsi="Times New Roman"/>
          <w:vanish/>
          <w:sz w:val="24"/>
          <w:szCs w:val="24"/>
        </w:rPr>
        <w:t xml:space="preserve"> listed in Supplementary Table</w:t>
      </w:r>
    </w:p>
    <w:sectPr w:rsidR="00A3797F" w:rsidRPr="001B26AE" w:rsidSect="00C06FCC">
      <w:footerReference w:type="default" r:id="rId6"/>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B0" w:rsidRDefault="00A36AB0" w:rsidP="001A2E24">
      <w:pPr>
        <w:spacing w:after="0" w:line="240" w:lineRule="auto"/>
      </w:pPr>
      <w:r>
        <w:separator/>
      </w:r>
    </w:p>
  </w:endnote>
  <w:endnote w:type="continuationSeparator" w:id="1">
    <w:p w:rsidR="00A36AB0" w:rsidRDefault="00A36AB0" w:rsidP="001A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56" w:rsidRDefault="00EB36A3">
    <w:pPr>
      <w:pStyle w:val="Footer"/>
      <w:jc w:val="center"/>
    </w:pPr>
    <w:r>
      <w:fldChar w:fldCharType="begin"/>
    </w:r>
    <w:r w:rsidR="00DB6D56">
      <w:instrText xml:space="preserve"> PAGE   \* MERGEFORMAT </w:instrText>
    </w:r>
    <w:r>
      <w:fldChar w:fldCharType="separate"/>
    </w:r>
    <w:r w:rsidR="004E1151">
      <w:rPr>
        <w:noProof/>
      </w:rPr>
      <w:t>1</w:t>
    </w:r>
    <w:r>
      <w:rPr>
        <w:noProof/>
      </w:rPr>
      <w:fldChar w:fldCharType="end"/>
    </w:r>
  </w:p>
  <w:p w:rsidR="00DB6D56" w:rsidRDefault="00DB6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B0" w:rsidRDefault="00A36AB0" w:rsidP="001A2E24">
      <w:pPr>
        <w:spacing w:after="0" w:line="240" w:lineRule="auto"/>
      </w:pPr>
      <w:r>
        <w:separator/>
      </w:r>
    </w:p>
  </w:footnote>
  <w:footnote w:type="continuationSeparator" w:id="1">
    <w:p w:rsidR="00A36AB0" w:rsidRDefault="00A36AB0" w:rsidP="001A2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1FF"/>
    <w:rsid w:val="000068B1"/>
    <w:rsid w:val="0000729A"/>
    <w:rsid w:val="000148FC"/>
    <w:rsid w:val="00015D8C"/>
    <w:rsid w:val="000200D0"/>
    <w:rsid w:val="00027513"/>
    <w:rsid w:val="00030479"/>
    <w:rsid w:val="000409D2"/>
    <w:rsid w:val="00041300"/>
    <w:rsid w:val="0004316D"/>
    <w:rsid w:val="00055CA1"/>
    <w:rsid w:val="00057E25"/>
    <w:rsid w:val="000749F6"/>
    <w:rsid w:val="00076AA2"/>
    <w:rsid w:val="000770C8"/>
    <w:rsid w:val="00083D7E"/>
    <w:rsid w:val="00097F6B"/>
    <w:rsid w:val="000A7139"/>
    <w:rsid w:val="000C7ED2"/>
    <w:rsid w:val="000D6FCF"/>
    <w:rsid w:val="000D7149"/>
    <w:rsid w:val="000F0E8F"/>
    <w:rsid w:val="001017D5"/>
    <w:rsid w:val="001066CA"/>
    <w:rsid w:val="00115A18"/>
    <w:rsid w:val="001326C2"/>
    <w:rsid w:val="00137E5E"/>
    <w:rsid w:val="001465A5"/>
    <w:rsid w:val="001525A1"/>
    <w:rsid w:val="00156E66"/>
    <w:rsid w:val="00182F71"/>
    <w:rsid w:val="00190FD9"/>
    <w:rsid w:val="001966A1"/>
    <w:rsid w:val="001A10B9"/>
    <w:rsid w:val="001A2E24"/>
    <w:rsid w:val="001B26AE"/>
    <w:rsid w:val="001C47EF"/>
    <w:rsid w:val="001C4E77"/>
    <w:rsid w:val="001C7C8B"/>
    <w:rsid w:val="001D180E"/>
    <w:rsid w:val="001D66A3"/>
    <w:rsid w:val="001E001A"/>
    <w:rsid w:val="001F646D"/>
    <w:rsid w:val="00201672"/>
    <w:rsid w:val="0020451B"/>
    <w:rsid w:val="002108E3"/>
    <w:rsid w:val="0021215C"/>
    <w:rsid w:val="00227270"/>
    <w:rsid w:val="0023211C"/>
    <w:rsid w:val="00235F0B"/>
    <w:rsid w:val="00235FCF"/>
    <w:rsid w:val="002561CF"/>
    <w:rsid w:val="00267D95"/>
    <w:rsid w:val="002758AB"/>
    <w:rsid w:val="0027728C"/>
    <w:rsid w:val="002A0603"/>
    <w:rsid w:val="002A792C"/>
    <w:rsid w:val="002B277B"/>
    <w:rsid w:val="002C2CC8"/>
    <w:rsid w:val="002C5747"/>
    <w:rsid w:val="002E1FB5"/>
    <w:rsid w:val="002E3CB0"/>
    <w:rsid w:val="002E6696"/>
    <w:rsid w:val="002F5FBE"/>
    <w:rsid w:val="003046A8"/>
    <w:rsid w:val="00305857"/>
    <w:rsid w:val="00307A01"/>
    <w:rsid w:val="00312EC6"/>
    <w:rsid w:val="00321CD8"/>
    <w:rsid w:val="00324948"/>
    <w:rsid w:val="003342B0"/>
    <w:rsid w:val="0034657D"/>
    <w:rsid w:val="00346D5C"/>
    <w:rsid w:val="00352589"/>
    <w:rsid w:val="00354112"/>
    <w:rsid w:val="00385989"/>
    <w:rsid w:val="00391DB0"/>
    <w:rsid w:val="00396FAB"/>
    <w:rsid w:val="003A0B77"/>
    <w:rsid w:val="003A25FE"/>
    <w:rsid w:val="003A3B9C"/>
    <w:rsid w:val="003B4D3A"/>
    <w:rsid w:val="003D09D6"/>
    <w:rsid w:val="003D2DCA"/>
    <w:rsid w:val="003D6633"/>
    <w:rsid w:val="003D7E91"/>
    <w:rsid w:val="003E74E6"/>
    <w:rsid w:val="003F2142"/>
    <w:rsid w:val="003F533C"/>
    <w:rsid w:val="004153EC"/>
    <w:rsid w:val="004235AE"/>
    <w:rsid w:val="00425CFF"/>
    <w:rsid w:val="00436895"/>
    <w:rsid w:val="004411FF"/>
    <w:rsid w:val="004430D3"/>
    <w:rsid w:val="00443186"/>
    <w:rsid w:val="00451789"/>
    <w:rsid w:val="00452299"/>
    <w:rsid w:val="00456909"/>
    <w:rsid w:val="00456A82"/>
    <w:rsid w:val="00461EE0"/>
    <w:rsid w:val="00470F3C"/>
    <w:rsid w:val="00474587"/>
    <w:rsid w:val="0047492F"/>
    <w:rsid w:val="0048023A"/>
    <w:rsid w:val="00495705"/>
    <w:rsid w:val="0049623D"/>
    <w:rsid w:val="004C03B3"/>
    <w:rsid w:val="004C108A"/>
    <w:rsid w:val="004C44AD"/>
    <w:rsid w:val="004D1A25"/>
    <w:rsid w:val="004D4033"/>
    <w:rsid w:val="004D7939"/>
    <w:rsid w:val="004E1151"/>
    <w:rsid w:val="004E11BD"/>
    <w:rsid w:val="004F0CAF"/>
    <w:rsid w:val="004F407A"/>
    <w:rsid w:val="004F449D"/>
    <w:rsid w:val="00501B94"/>
    <w:rsid w:val="00503EC6"/>
    <w:rsid w:val="00504B11"/>
    <w:rsid w:val="00505228"/>
    <w:rsid w:val="005202AB"/>
    <w:rsid w:val="00524111"/>
    <w:rsid w:val="00524656"/>
    <w:rsid w:val="005248A2"/>
    <w:rsid w:val="00525564"/>
    <w:rsid w:val="005265C1"/>
    <w:rsid w:val="00552DC4"/>
    <w:rsid w:val="0055652D"/>
    <w:rsid w:val="0055755A"/>
    <w:rsid w:val="00572C10"/>
    <w:rsid w:val="00576886"/>
    <w:rsid w:val="00582FA3"/>
    <w:rsid w:val="00585901"/>
    <w:rsid w:val="00594828"/>
    <w:rsid w:val="005A2266"/>
    <w:rsid w:val="005A39B0"/>
    <w:rsid w:val="005A6BD2"/>
    <w:rsid w:val="005B063B"/>
    <w:rsid w:val="005B3BDA"/>
    <w:rsid w:val="005B414F"/>
    <w:rsid w:val="005C173F"/>
    <w:rsid w:val="005C41AB"/>
    <w:rsid w:val="005D4279"/>
    <w:rsid w:val="005D54C0"/>
    <w:rsid w:val="005E1E39"/>
    <w:rsid w:val="00600634"/>
    <w:rsid w:val="00606BFA"/>
    <w:rsid w:val="00610743"/>
    <w:rsid w:val="00610F35"/>
    <w:rsid w:val="00614139"/>
    <w:rsid w:val="00616B19"/>
    <w:rsid w:val="00622571"/>
    <w:rsid w:val="00623DD1"/>
    <w:rsid w:val="00623FB9"/>
    <w:rsid w:val="006324C4"/>
    <w:rsid w:val="0063700C"/>
    <w:rsid w:val="00660656"/>
    <w:rsid w:val="00660703"/>
    <w:rsid w:val="006729D1"/>
    <w:rsid w:val="006775E1"/>
    <w:rsid w:val="00693D1C"/>
    <w:rsid w:val="006946AC"/>
    <w:rsid w:val="00694D64"/>
    <w:rsid w:val="0069588D"/>
    <w:rsid w:val="006A4BA5"/>
    <w:rsid w:val="006B5944"/>
    <w:rsid w:val="006C3242"/>
    <w:rsid w:val="006C68E0"/>
    <w:rsid w:val="006D2247"/>
    <w:rsid w:val="006E1526"/>
    <w:rsid w:val="006E40F6"/>
    <w:rsid w:val="006F2F93"/>
    <w:rsid w:val="006F4E57"/>
    <w:rsid w:val="007009D2"/>
    <w:rsid w:val="00703C2A"/>
    <w:rsid w:val="00711013"/>
    <w:rsid w:val="00712BE4"/>
    <w:rsid w:val="00712CB3"/>
    <w:rsid w:val="0071673B"/>
    <w:rsid w:val="00717F90"/>
    <w:rsid w:val="007229D1"/>
    <w:rsid w:val="0072326C"/>
    <w:rsid w:val="007241BD"/>
    <w:rsid w:val="007269F2"/>
    <w:rsid w:val="00733007"/>
    <w:rsid w:val="00735DED"/>
    <w:rsid w:val="00750438"/>
    <w:rsid w:val="0075056B"/>
    <w:rsid w:val="00771049"/>
    <w:rsid w:val="00784A37"/>
    <w:rsid w:val="00787BCB"/>
    <w:rsid w:val="00794C51"/>
    <w:rsid w:val="0079517B"/>
    <w:rsid w:val="007A0010"/>
    <w:rsid w:val="007A1394"/>
    <w:rsid w:val="007B4794"/>
    <w:rsid w:val="007B4BEC"/>
    <w:rsid w:val="007B6A24"/>
    <w:rsid w:val="007C2D00"/>
    <w:rsid w:val="007C49BF"/>
    <w:rsid w:val="007C6013"/>
    <w:rsid w:val="007C631D"/>
    <w:rsid w:val="00801BB1"/>
    <w:rsid w:val="0080542F"/>
    <w:rsid w:val="00843227"/>
    <w:rsid w:val="00850F5C"/>
    <w:rsid w:val="00851FFD"/>
    <w:rsid w:val="00853D7C"/>
    <w:rsid w:val="00861FEE"/>
    <w:rsid w:val="00871C4A"/>
    <w:rsid w:val="008755DE"/>
    <w:rsid w:val="008771C0"/>
    <w:rsid w:val="008829C0"/>
    <w:rsid w:val="0088383B"/>
    <w:rsid w:val="00890BE0"/>
    <w:rsid w:val="0089293B"/>
    <w:rsid w:val="00895458"/>
    <w:rsid w:val="008A536B"/>
    <w:rsid w:val="008A5C9E"/>
    <w:rsid w:val="008A7984"/>
    <w:rsid w:val="008B170D"/>
    <w:rsid w:val="008B720D"/>
    <w:rsid w:val="008C43BF"/>
    <w:rsid w:val="008C4C77"/>
    <w:rsid w:val="008C66AE"/>
    <w:rsid w:val="008D1566"/>
    <w:rsid w:val="008D4737"/>
    <w:rsid w:val="008E4237"/>
    <w:rsid w:val="008E65E6"/>
    <w:rsid w:val="008F2B40"/>
    <w:rsid w:val="008F5668"/>
    <w:rsid w:val="00914E15"/>
    <w:rsid w:val="00923C40"/>
    <w:rsid w:val="00930375"/>
    <w:rsid w:val="009316D7"/>
    <w:rsid w:val="00933A05"/>
    <w:rsid w:val="00934BFC"/>
    <w:rsid w:val="00947F2F"/>
    <w:rsid w:val="0095426F"/>
    <w:rsid w:val="00970AD1"/>
    <w:rsid w:val="00972793"/>
    <w:rsid w:val="00973F8D"/>
    <w:rsid w:val="00974F3F"/>
    <w:rsid w:val="00980FD2"/>
    <w:rsid w:val="00981594"/>
    <w:rsid w:val="009817A5"/>
    <w:rsid w:val="00987ADE"/>
    <w:rsid w:val="00992617"/>
    <w:rsid w:val="00994B41"/>
    <w:rsid w:val="009A3024"/>
    <w:rsid w:val="009C4DB9"/>
    <w:rsid w:val="009D7360"/>
    <w:rsid w:val="009E65CF"/>
    <w:rsid w:val="009F21EE"/>
    <w:rsid w:val="009F7306"/>
    <w:rsid w:val="00A0292C"/>
    <w:rsid w:val="00A1021D"/>
    <w:rsid w:val="00A1116F"/>
    <w:rsid w:val="00A12209"/>
    <w:rsid w:val="00A1380E"/>
    <w:rsid w:val="00A1390C"/>
    <w:rsid w:val="00A1460F"/>
    <w:rsid w:val="00A31451"/>
    <w:rsid w:val="00A36AB0"/>
    <w:rsid w:val="00A3797F"/>
    <w:rsid w:val="00A42BFA"/>
    <w:rsid w:val="00A60D17"/>
    <w:rsid w:val="00A614FA"/>
    <w:rsid w:val="00A62652"/>
    <w:rsid w:val="00A63B8E"/>
    <w:rsid w:val="00A63F18"/>
    <w:rsid w:val="00A63FC4"/>
    <w:rsid w:val="00A66E47"/>
    <w:rsid w:val="00A76242"/>
    <w:rsid w:val="00A809EE"/>
    <w:rsid w:val="00A81B99"/>
    <w:rsid w:val="00A86CE1"/>
    <w:rsid w:val="00A87B80"/>
    <w:rsid w:val="00A92AB4"/>
    <w:rsid w:val="00A9478D"/>
    <w:rsid w:val="00A97AB6"/>
    <w:rsid w:val="00AA1C06"/>
    <w:rsid w:val="00AA2AE1"/>
    <w:rsid w:val="00AA5985"/>
    <w:rsid w:val="00AB13F7"/>
    <w:rsid w:val="00AC0E19"/>
    <w:rsid w:val="00AC28BF"/>
    <w:rsid w:val="00AC7896"/>
    <w:rsid w:val="00AD3085"/>
    <w:rsid w:val="00AD748C"/>
    <w:rsid w:val="00AE03E4"/>
    <w:rsid w:val="00AE1A5F"/>
    <w:rsid w:val="00AE7D44"/>
    <w:rsid w:val="00AF25A2"/>
    <w:rsid w:val="00B00B4E"/>
    <w:rsid w:val="00B0136D"/>
    <w:rsid w:val="00B1458C"/>
    <w:rsid w:val="00B208F7"/>
    <w:rsid w:val="00B23A00"/>
    <w:rsid w:val="00B2703D"/>
    <w:rsid w:val="00B3067C"/>
    <w:rsid w:val="00B34E56"/>
    <w:rsid w:val="00B35E53"/>
    <w:rsid w:val="00B45FB0"/>
    <w:rsid w:val="00B46E15"/>
    <w:rsid w:val="00B46E6C"/>
    <w:rsid w:val="00B50836"/>
    <w:rsid w:val="00B5646B"/>
    <w:rsid w:val="00B56B2C"/>
    <w:rsid w:val="00B602D2"/>
    <w:rsid w:val="00B67588"/>
    <w:rsid w:val="00B739A1"/>
    <w:rsid w:val="00B74E75"/>
    <w:rsid w:val="00B77E8E"/>
    <w:rsid w:val="00B80D62"/>
    <w:rsid w:val="00B8281B"/>
    <w:rsid w:val="00B865E6"/>
    <w:rsid w:val="00B92F4B"/>
    <w:rsid w:val="00B94989"/>
    <w:rsid w:val="00B95D31"/>
    <w:rsid w:val="00BA3068"/>
    <w:rsid w:val="00BA6D4E"/>
    <w:rsid w:val="00BA7E10"/>
    <w:rsid w:val="00BB098C"/>
    <w:rsid w:val="00BB164F"/>
    <w:rsid w:val="00BE0DE9"/>
    <w:rsid w:val="00BF3190"/>
    <w:rsid w:val="00BF31CF"/>
    <w:rsid w:val="00BF354B"/>
    <w:rsid w:val="00BF597D"/>
    <w:rsid w:val="00C06FCC"/>
    <w:rsid w:val="00C102E1"/>
    <w:rsid w:val="00C110B4"/>
    <w:rsid w:val="00C12EDA"/>
    <w:rsid w:val="00C16A77"/>
    <w:rsid w:val="00C21AAD"/>
    <w:rsid w:val="00C30958"/>
    <w:rsid w:val="00C53F92"/>
    <w:rsid w:val="00C55AD2"/>
    <w:rsid w:val="00C57F94"/>
    <w:rsid w:val="00C73A94"/>
    <w:rsid w:val="00C77673"/>
    <w:rsid w:val="00C77C70"/>
    <w:rsid w:val="00C80732"/>
    <w:rsid w:val="00C82E45"/>
    <w:rsid w:val="00C866D5"/>
    <w:rsid w:val="00C92AAE"/>
    <w:rsid w:val="00CB1D3C"/>
    <w:rsid w:val="00CC17AA"/>
    <w:rsid w:val="00CC2063"/>
    <w:rsid w:val="00CD33D2"/>
    <w:rsid w:val="00CD3509"/>
    <w:rsid w:val="00CE255C"/>
    <w:rsid w:val="00CE5347"/>
    <w:rsid w:val="00CE7689"/>
    <w:rsid w:val="00CF00CB"/>
    <w:rsid w:val="00CF5F45"/>
    <w:rsid w:val="00D02559"/>
    <w:rsid w:val="00D0441F"/>
    <w:rsid w:val="00D26A35"/>
    <w:rsid w:val="00D31F7B"/>
    <w:rsid w:val="00D32619"/>
    <w:rsid w:val="00D44C15"/>
    <w:rsid w:val="00D454B2"/>
    <w:rsid w:val="00D45EDE"/>
    <w:rsid w:val="00D56092"/>
    <w:rsid w:val="00D7045D"/>
    <w:rsid w:val="00D8327F"/>
    <w:rsid w:val="00D970FD"/>
    <w:rsid w:val="00DA01B9"/>
    <w:rsid w:val="00DA2723"/>
    <w:rsid w:val="00DA6EA2"/>
    <w:rsid w:val="00DB6D56"/>
    <w:rsid w:val="00DC2AA4"/>
    <w:rsid w:val="00DC4ABB"/>
    <w:rsid w:val="00DC5AAC"/>
    <w:rsid w:val="00DD70DE"/>
    <w:rsid w:val="00E05185"/>
    <w:rsid w:val="00E07C22"/>
    <w:rsid w:val="00E21B36"/>
    <w:rsid w:val="00E30FD0"/>
    <w:rsid w:val="00E338CE"/>
    <w:rsid w:val="00E37E4E"/>
    <w:rsid w:val="00E436D2"/>
    <w:rsid w:val="00E47D1D"/>
    <w:rsid w:val="00E5387B"/>
    <w:rsid w:val="00E608D1"/>
    <w:rsid w:val="00E90105"/>
    <w:rsid w:val="00E93C49"/>
    <w:rsid w:val="00EA00B8"/>
    <w:rsid w:val="00EA0EAF"/>
    <w:rsid w:val="00EA4E06"/>
    <w:rsid w:val="00EA4E4B"/>
    <w:rsid w:val="00EA72EC"/>
    <w:rsid w:val="00EB36A3"/>
    <w:rsid w:val="00EB659F"/>
    <w:rsid w:val="00ED00C3"/>
    <w:rsid w:val="00ED14E6"/>
    <w:rsid w:val="00ED35D5"/>
    <w:rsid w:val="00EF0523"/>
    <w:rsid w:val="00EF1532"/>
    <w:rsid w:val="00EF6D0C"/>
    <w:rsid w:val="00F03649"/>
    <w:rsid w:val="00F13D8B"/>
    <w:rsid w:val="00F203A4"/>
    <w:rsid w:val="00F22589"/>
    <w:rsid w:val="00F356B3"/>
    <w:rsid w:val="00F5363D"/>
    <w:rsid w:val="00F57075"/>
    <w:rsid w:val="00F66AFE"/>
    <w:rsid w:val="00F8436D"/>
    <w:rsid w:val="00F91A92"/>
    <w:rsid w:val="00FB1A6B"/>
    <w:rsid w:val="00FB4E45"/>
    <w:rsid w:val="00FB6C12"/>
    <w:rsid w:val="00FC1639"/>
    <w:rsid w:val="00FC293C"/>
    <w:rsid w:val="00FD03B6"/>
    <w:rsid w:val="00FD3A63"/>
    <w:rsid w:val="00FE3B37"/>
    <w:rsid w:val="00FE69E7"/>
    <w:rsid w:val="00FF6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CE"/>
    <w:pPr>
      <w:spacing w:after="200" w:line="276" w:lineRule="auto"/>
    </w:pPr>
    <w:rPr>
      <w:lang w:val="en-GB"/>
    </w:rPr>
  </w:style>
  <w:style w:type="paragraph" w:styleId="Heading1">
    <w:name w:val="heading 1"/>
    <w:basedOn w:val="Normal"/>
    <w:next w:val="Normal"/>
    <w:link w:val="Heading1Char"/>
    <w:uiPriority w:val="99"/>
    <w:qFormat/>
    <w:rsid w:val="007C49B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9BF"/>
    <w:rPr>
      <w:rFonts w:ascii="Cambria" w:hAnsi="Cambria" w:cs="Times New Roman"/>
      <w:b/>
      <w:bCs/>
      <w:color w:val="365F91"/>
      <w:sz w:val="28"/>
      <w:szCs w:val="28"/>
    </w:rPr>
  </w:style>
  <w:style w:type="table" w:styleId="TableGrid">
    <w:name w:val="Table Grid"/>
    <w:basedOn w:val="TableNormal"/>
    <w:uiPriority w:val="99"/>
    <w:rsid w:val="004411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BA306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DefaultParagraphFont"/>
    <w:uiPriority w:val="99"/>
    <w:rsid w:val="007C49BF"/>
    <w:rPr>
      <w:rFonts w:cs="Times New Roman"/>
      <w:color w:val="0000FF"/>
      <w:u w:val="single"/>
    </w:rPr>
  </w:style>
  <w:style w:type="character" w:styleId="CommentReference">
    <w:name w:val="annotation reference"/>
    <w:basedOn w:val="DefaultParagraphFont"/>
    <w:uiPriority w:val="99"/>
    <w:semiHidden/>
    <w:rsid w:val="00F57075"/>
    <w:rPr>
      <w:rFonts w:cs="Times New Roman"/>
      <w:sz w:val="16"/>
      <w:szCs w:val="16"/>
    </w:rPr>
  </w:style>
  <w:style w:type="paragraph" w:styleId="CommentText">
    <w:name w:val="annotation text"/>
    <w:basedOn w:val="Normal"/>
    <w:link w:val="CommentTextChar"/>
    <w:uiPriority w:val="99"/>
    <w:semiHidden/>
    <w:rsid w:val="00F570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7075"/>
    <w:rPr>
      <w:rFonts w:cs="Times New Roman"/>
      <w:sz w:val="20"/>
      <w:szCs w:val="20"/>
    </w:rPr>
  </w:style>
  <w:style w:type="paragraph" w:styleId="CommentSubject">
    <w:name w:val="annotation subject"/>
    <w:basedOn w:val="CommentText"/>
    <w:next w:val="CommentText"/>
    <w:link w:val="CommentSubjectChar"/>
    <w:uiPriority w:val="99"/>
    <w:semiHidden/>
    <w:rsid w:val="00F57075"/>
    <w:rPr>
      <w:b/>
      <w:bCs/>
    </w:rPr>
  </w:style>
  <w:style w:type="character" w:customStyle="1" w:styleId="CommentSubjectChar">
    <w:name w:val="Comment Subject Char"/>
    <w:basedOn w:val="CommentTextChar"/>
    <w:link w:val="CommentSubject"/>
    <w:uiPriority w:val="99"/>
    <w:semiHidden/>
    <w:locked/>
    <w:rsid w:val="00F57075"/>
    <w:rPr>
      <w:rFonts w:cs="Times New Roman"/>
      <w:b/>
      <w:bCs/>
      <w:sz w:val="20"/>
      <w:szCs w:val="20"/>
    </w:rPr>
  </w:style>
  <w:style w:type="paragraph" w:styleId="BalloonText">
    <w:name w:val="Balloon Text"/>
    <w:basedOn w:val="Normal"/>
    <w:link w:val="BalloonTextChar"/>
    <w:uiPriority w:val="99"/>
    <w:semiHidden/>
    <w:rsid w:val="00F5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075"/>
    <w:rPr>
      <w:rFonts w:ascii="Tahoma" w:hAnsi="Tahoma" w:cs="Tahoma"/>
      <w:sz w:val="16"/>
      <w:szCs w:val="16"/>
    </w:rPr>
  </w:style>
  <w:style w:type="paragraph" w:styleId="Header">
    <w:name w:val="header"/>
    <w:basedOn w:val="Normal"/>
    <w:link w:val="HeaderChar"/>
    <w:uiPriority w:val="99"/>
    <w:semiHidden/>
    <w:rsid w:val="001A2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A2E24"/>
    <w:rPr>
      <w:rFonts w:cs="Times New Roman"/>
    </w:rPr>
  </w:style>
  <w:style w:type="paragraph" w:styleId="Footer">
    <w:name w:val="footer"/>
    <w:basedOn w:val="Normal"/>
    <w:link w:val="FooterChar"/>
    <w:uiPriority w:val="99"/>
    <w:rsid w:val="001A2E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2E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74908">
      <w:marLeft w:val="0"/>
      <w:marRight w:val="0"/>
      <w:marTop w:val="0"/>
      <w:marBottom w:val="0"/>
      <w:divBdr>
        <w:top w:val="none" w:sz="0" w:space="0" w:color="auto"/>
        <w:left w:val="none" w:sz="0" w:space="0" w:color="auto"/>
        <w:bottom w:val="none" w:sz="0" w:space="0" w:color="auto"/>
        <w:right w:val="none" w:sz="0" w:space="0" w:color="auto"/>
      </w:divBdr>
    </w:div>
    <w:div w:id="1468274909">
      <w:marLeft w:val="0"/>
      <w:marRight w:val="0"/>
      <w:marTop w:val="0"/>
      <w:marBottom w:val="0"/>
      <w:divBdr>
        <w:top w:val="none" w:sz="0" w:space="0" w:color="auto"/>
        <w:left w:val="none" w:sz="0" w:space="0" w:color="auto"/>
        <w:bottom w:val="none" w:sz="0" w:space="0" w:color="auto"/>
        <w:right w:val="none" w:sz="0" w:space="0" w:color="auto"/>
      </w:divBdr>
    </w:div>
    <w:div w:id="1468274910">
      <w:marLeft w:val="0"/>
      <w:marRight w:val="0"/>
      <w:marTop w:val="0"/>
      <w:marBottom w:val="0"/>
      <w:divBdr>
        <w:top w:val="none" w:sz="0" w:space="0" w:color="auto"/>
        <w:left w:val="none" w:sz="0" w:space="0" w:color="auto"/>
        <w:bottom w:val="none" w:sz="0" w:space="0" w:color="auto"/>
        <w:right w:val="none" w:sz="0" w:space="0" w:color="auto"/>
      </w:divBdr>
    </w:div>
    <w:div w:id="1468274911">
      <w:marLeft w:val="0"/>
      <w:marRight w:val="0"/>
      <w:marTop w:val="0"/>
      <w:marBottom w:val="0"/>
      <w:divBdr>
        <w:top w:val="none" w:sz="0" w:space="0" w:color="auto"/>
        <w:left w:val="none" w:sz="0" w:space="0" w:color="auto"/>
        <w:bottom w:val="none" w:sz="0" w:space="0" w:color="auto"/>
        <w:right w:val="none" w:sz="0" w:space="0" w:color="auto"/>
      </w:divBdr>
    </w:div>
    <w:div w:id="1468274912">
      <w:marLeft w:val="0"/>
      <w:marRight w:val="0"/>
      <w:marTop w:val="0"/>
      <w:marBottom w:val="0"/>
      <w:divBdr>
        <w:top w:val="none" w:sz="0" w:space="0" w:color="auto"/>
        <w:left w:val="none" w:sz="0" w:space="0" w:color="auto"/>
        <w:bottom w:val="none" w:sz="0" w:space="0" w:color="auto"/>
        <w:right w:val="none" w:sz="0" w:space="0" w:color="auto"/>
      </w:divBdr>
    </w:div>
    <w:div w:id="1468274913">
      <w:marLeft w:val="0"/>
      <w:marRight w:val="0"/>
      <w:marTop w:val="0"/>
      <w:marBottom w:val="0"/>
      <w:divBdr>
        <w:top w:val="none" w:sz="0" w:space="0" w:color="auto"/>
        <w:left w:val="none" w:sz="0" w:space="0" w:color="auto"/>
        <w:bottom w:val="none" w:sz="0" w:space="0" w:color="auto"/>
        <w:right w:val="none" w:sz="0" w:space="0" w:color="auto"/>
      </w:divBdr>
    </w:div>
    <w:div w:id="146827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Supplementary Table 1</vt:lpstr>
    </vt:vector>
  </TitlesOfParts>
  <Company>Birdlife International</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dc:title>
  <dc:subject/>
  <dc:creator>Nyil Khwaja</dc:creator>
  <cp:keywords/>
  <dc:description/>
  <cp:lastModifiedBy> Judit Szabo</cp:lastModifiedBy>
  <cp:revision>5</cp:revision>
  <dcterms:created xsi:type="dcterms:W3CDTF">2012-09-14T23:26:00Z</dcterms:created>
  <dcterms:modified xsi:type="dcterms:W3CDTF">2012-09-14T23:35:00Z</dcterms:modified>
</cp:coreProperties>
</file>