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1" w:rsidRPr="00BF19AF" w:rsidRDefault="007814AF" w:rsidP="007E19F4">
      <w:pPr>
        <w:spacing w:line="480" w:lineRule="auto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S1 </w:t>
      </w:r>
      <w:r w:rsidR="004C66B1" w:rsidRPr="00BF19AF">
        <w:rPr>
          <w:b/>
          <w:sz w:val="24"/>
          <w:szCs w:val="24"/>
          <w:lang w:val="en-US"/>
        </w:rPr>
        <w:t xml:space="preserve">Table. </w:t>
      </w:r>
      <w:proofErr w:type="gramStart"/>
      <w:r w:rsidR="004C66B1" w:rsidRPr="00BF19AF">
        <w:rPr>
          <w:i/>
          <w:sz w:val="24"/>
          <w:szCs w:val="24"/>
          <w:lang w:val="en-US"/>
        </w:rPr>
        <w:t>ERG</w:t>
      </w:r>
      <w:r w:rsidR="004C66B1" w:rsidRPr="00BF19AF">
        <w:rPr>
          <w:sz w:val="24"/>
          <w:szCs w:val="24"/>
          <w:lang w:val="en-US"/>
        </w:rPr>
        <w:t>s and their sensitivity to inhibition of complement and CD14 in a C5-deficient background.</w:t>
      </w:r>
      <w:proofErr w:type="gramEnd"/>
    </w:p>
    <w:tbl>
      <w:tblPr>
        <w:tblW w:w="5000" w:type="pct"/>
        <w:tblLook w:val="04A0"/>
      </w:tblPr>
      <w:tblGrid>
        <w:gridCol w:w="2374"/>
        <w:gridCol w:w="2569"/>
        <w:gridCol w:w="1956"/>
        <w:gridCol w:w="2387"/>
      </w:tblGrid>
      <w:tr w:rsidR="004C66B1" w:rsidRPr="00BF19AF" w:rsidTr="0088346A">
        <w:tc>
          <w:tcPr>
            <w:tcW w:w="1279" w:type="pct"/>
            <w:vMerge w:val="restart"/>
            <w:tcBorders>
              <w:top w:val="single" w:sz="12" w:space="0" w:color="auto"/>
            </w:tcBorders>
            <w:vAlign w:val="center"/>
          </w:tcPr>
          <w:p w:rsidR="004C66B1" w:rsidRPr="0088346A" w:rsidRDefault="004C66B1" w:rsidP="0088346A">
            <w:pPr>
              <w:spacing w:line="48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Category</w:t>
            </w:r>
          </w:p>
        </w:tc>
        <w:tc>
          <w:tcPr>
            <w:tcW w:w="3721" w:type="pct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4C66B1" w:rsidRPr="0088346A" w:rsidRDefault="004C66B1" w:rsidP="0088346A">
            <w:pPr>
              <w:spacing w:line="48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 xml:space="preserve">Number of </w:t>
            </w:r>
            <w:proofErr w:type="spellStart"/>
            <w:r w:rsidRPr="0088346A">
              <w:rPr>
                <w:b/>
                <w:lang w:val="en-US"/>
              </w:rPr>
              <w:t>transcripts</w:t>
            </w:r>
            <w:r w:rsidRPr="0088346A">
              <w:rPr>
                <w:vertAlign w:val="superscript"/>
                <w:lang w:val="en-US"/>
              </w:rPr>
              <w:t>A</w:t>
            </w:r>
            <w:proofErr w:type="spellEnd"/>
          </w:p>
        </w:tc>
      </w:tr>
      <w:tr w:rsidR="007E19F4" w:rsidRPr="00BF19AF" w:rsidTr="0088346A">
        <w:trPr>
          <w:trHeight w:val="424"/>
        </w:trPr>
        <w:tc>
          <w:tcPr>
            <w:tcW w:w="1279" w:type="pct"/>
            <w:vMerge/>
            <w:tcBorders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Total</w:t>
            </w:r>
          </w:p>
        </w:tc>
        <w:tc>
          <w:tcPr>
            <w:tcW w:w="105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Reversible</w:t>
            </w:r>
          </w:p>
        </w:tc>
        <w:tc>
          <w:tcPr>
            <w:tcW w:w="128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Augmentable</w:t>
            </w:r>
          </w:p>
        </w:tc>
      </w:tr>
      <w:tr w:rsidR="004C66B1" w:rsidRPr="00BF19AF" w:rsidTr="0088346A">
        <w:tc>
          <w:tcPr>
            <w:tcW w:w="1279" w:type="pct"/>
          </w:tcPr>
          <w:p w:rsidR="004C66B1" w:rsidRPr="0088346A" w:rsidRDefault="004C66B1" w:rsidP="0088346A">
            <w:pPr>
              <w:spacing w:line="480" w:lineRule="auto"/>
              <w:rPr>
                <w:b/>
                <w:lang w:val="en-US"/>
              </w:rPr>
            </w:pPr>
            <w:r w:rsidRPr="0088346A">
              <w:rPr>
                <w:b/>
                <w:i/>
                <w:lang w:val="en-US"/>
              </w:rPr>
              <w:t>ERG</w:t>
            </w:r>
            <w:r w:rsidRPr="0088346A">
              <w:rPr>
                <w:b/>
                <w:lang w:val="en-US"/>
              </w:rPr>
              <w:t>s</w:t>
            </w:r>
          </w:p>
        </w:tc>
        <w:tc>
          <w:tcPr>
            <w:tcW w:w="138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1691</w:t>
            </w:r>
            <w:r w:rsidRPr="0088346A">
              <w:rPr>
                <w:vertAlign w:val="superscript"/>
                <w:lang w:val="en-US"/>
              </w:rPr>
              <w:t>B</w:t>
            </w:r>
          </w:p>
        </w:tc>
        <w:tc>
          <w:tcPr>
            <w:tcW w:w="105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1517</w:t>
            </w:r>
            <w:r w:rsidRPr="0088346A">
              <w:rPr>
                <w:vertAlign w:val="superscript"/>
                <w:lang w:val="en-US"/>
              </w:rPr>
              <w:t>C</w:t>
            </w:r>
          </w:p>
        </w:tc>
        <w:tc>
          <w:tcPr>
            <w:tcW w:w="1284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11</w:t>
            </w:r>
            <w:r w:rsidRPr="0088346A">
              <w:rPr>
                <w:vertAlign w:val="superscript"/>
                <w:lang w:val="en-US"/>
              </w:rPr>
              <w:t>D</w:t>
            </w:r>
          </w:p>
        </w:tc>
      </w:tr>
      <w:tr w:rsidR="004C66B1" w:rsidRPr="00BF19AF" w:rsidTr="0088346A">
        <w:tc>
          <w:tcPr>
            <w:tcW w:w="1279" w:type="pct"/>
          </w:tcPr>
          <w:p w:rsidR="004C66B1" w:rsidRPr="0088346A" w:rsidRDefault="004C66B1" w:rsidP="0088346A">
            <w:pPr>
              <w:spacing w:line="480" w:lineRule="auto"/>
              <w:ind w:left="567"/>
              <w:rPr>
                <w:lang w:val="en-US"/>
              </w:rPr>
            </w:pPr>
            <w:r w:rsidRPr="0088346A">
              <w:rPr>
                <w:i/>
                <w:lang w:val="en-US"/>
              </w:rPr>
              <w:t>Up-regulated</w:t>
            </w:r>
          </w:p>
        </w:tc>
        <w:tc>
          <w:tcPr>
            <w:tcW w:w="138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896</w:t>
            </w:r>
          </w:p>
        </w:tc>
        <w:tc>
          <w:tcPr>
            <w:tcW w:w="105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819</w:t>
            </w:r>
          </w:p>
        </w:tc>
        <w:tc>
          <w:tcPr>
            <w:tcW w:w="1284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10</w:t>
            </w:r>
          </w:p>
        </w:tc>
      </w:tr>
      <w:tr w:rsidR="004C66B1" w:rsidRPr="00BF19AF" w:rsidTr="0088346A">
        <w:tc>
          <w:tcPr>
            <w:tcW w:w="1279" w:type="pct"/>
          </w:tcPr>
          <w:p w:rsidR="004C66B1" w:rsidRPr="0088346A" w:rsidRDefault="004C66B1" w:rsidP="0088346A">
            <w:pPr>
              <w:spacing w:line="480" w:lineRule="auto"/>
              <w:ind w:left="567"/>
              <w:rPr>
                <w:i/>
                <w:lang w:val="en-US"/>
              </w:rPr>
            </w:pPr>
            <w:r w:rsidRPr="0088346A">
              <w:rPr>
                <w:i/>
                <w:lang w:val="en-US"/>
              </w:rPr>
              <w:t>Down-regulated</w:t>
            </w:r>
          </w:p>
        </w:tc>
        <w:tc>
          <w:tcPr>
            <w:tcW w:w="138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795</w:t>
            </w:r>
          </w:p>
        </w:tc>
        <w:tc>
          <w:tcPr>
            <w:tcW w:w="105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698</w:t>
            </w:r>
          </w:p>
        </w:tc>
        <w:tc>
          <w:tcPr>
            <w:tcW w:w="1284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</w:t>
            </w:r>
          </w:p>
        </w:tc>
      </w:tr>
      <w:tr w:rsidR="004C66B1" w:rsidRPr="00BF19AF" w:rsidTr="0088346A">
        <w:tc>
          <w:tcPr>
            <w:tcW w:w="1279" w:type="pct"/>
          </w:tcPr>
          <w:p w:rsidR="004C66B1" w:rsidRPr="0088346A" w:rsidRDefault="004C66B1" w:rsidP="0088346A">
            <w:pPr>
              <w:spacing w:line="480" w:lineRule="auto"/>
              <w:ind w:left="567"/>
              <w:rPr>
                <w:vertAlign w:val="superscript"/>
                <w:lang w:val="en-US"/>
              </w:rPr>
            </w:pPr>
            <w:r w:rsidRPr="0088346A">
              <w:rPr>
                <w:i/>
                <w:lang w:val="en-US"/>
              </w:rPr>
              <w:t xml:space="preserve">FC &gt; 2 </w:t>
            </w:r>
            <w:r w:rsidRPr="0088346A">
              <w:rPr>
                <w:vertAlign w:val="superscript"/>
                <w:lang w:val="en-US"/>
              </w:rPr>
              <w:t>E</w:t>
            </w:r>
          </w:p>
        </w:tc>
        <w:tc>
          <w:tcPr>
            <w:tcW w:w="138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394</w:t>
            </w:r>
          </w:p>
        </w:tc>
        <w:tc>
          <w:tcPr>
            <w:tcW w:w="105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391</w:t>
            </w:r>
          </w:p>
        </w:tc>
        <w:tc>
          <w:tcPr>
            <w:tcW w:w="1284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0</w:t>
            </w:r>
          </w:p>
        </w:tc>
      </w:tr>
      <w:tr w:rsidR="004C66B1" w:rsidRPr="00BF19AF" w:rsidTr="0088346A">
        <w:tc>
          <w:tcPr>
            <w:tcW w:w="1279" w:type="pct"/>
          </w:tcPr>
          <w:p w:rsidR="004C66B1" w:rsidRPr="0088346A" w:rsidRDefault="004C66B1" w:rsidP="0088346A">
            <w:pPr>
              <w:spacing w:line="480" w:lineRule="auto"/>
              <w:rPr>
                <w:b/>
                <w:vertAlign w:val="superscript"/>
                <w:lang w:val="en-US"/>
              </w:rPr>
            </w:pPr>
            <w:r w:rsidRPr="0088346A">
              <w:rPr>
                <w:b/>
                <w:lang w:val="en-US"/>
              </w:rPr>
              <w:t>C3/CD14-DG</w:t>
            </w:r>
            <w:r w:rsidRPr="0088346A">
              <w:rPr>
                <w:vertAlign w:val="superscript"/>
                <w:lang w:val="en-US"/>
              </w:rPr>
              <w:t>F</w:t>
            </w:r>
          </w:p>
        </w:tc>
        <w:tc>
          <w:tcPr>
            <w:tcW w:w="138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1419</w:t>
            </w:r>
          </w:p>
        </w:tc>
        <w:tc>
          <w:tcPr>
            <w:tcW w:w="105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1414</w:t>
            </w:r>
          </w:p>
        </w:tc>
        <w:tc>
          <w:tcPr>
            <w:tcW w:w="1284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5</w:t>
            </w:r>
          </w:p>
        </w:tc>
      </w:tr>
      <w:tr w:rsidR="004C66B1" w:rsidRPr="00BF19AF" w:rsidTr="0088346A">
        <w:tc>
          <w:tcPr>
            <w:tcW w:w="1279" w:type="pct"/>
          </w:tcPr>
          <w:p w:rsidR="004C66B1" w:rsidRPr="0088346A" w:rsidRDefault="004C66B1" w:rsidP="0088346A">
            <w:pPr>
              <w:spacing w:line="480" w:lineRule="auto"/>
              <w:rPr>
                <w:b/>
                <w:vertAlign w:val="superscript"/>
                <w:lang w:val="en-US"/>
              </w:rPr>
            </w:pPr>
            <w:r w:rsidRPr="0088346A">
              <w:rPr>
                <w:b/>
                <w:lang w:val="en-US"/>
              </w:rPr>
              <w:t>CD14-DG</w:t>
            </w:r>
            <w:r w:rsidRPr="0088346A">
              <w:rPr>
                <w:vertAlign w:val="superscript"/>
                <w:lang w:val="en-US"/>
              </w:rPr>
              <w:t>G</w:t>
            </w:r>
          </w:p>
        </w:tc>
        <w:tc>
          <w:tcPr>
            <w:tcW w:w="138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1202</w:t>
            </w:r>
          </w:p>
        </w:tc>
        <w:tc>
          <w:tcPr>
            <w:tcW w:w="105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1200</w:t>
            </w:r>
          </w:p>
        </w:tc>
        <w:tc>
          <w:tcPr>
            <w:tcW w:w="1284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2</w:t>
            </w:r>
          </w:p>
        </w:tc>
      </w:tr>
      <w:tr w:rsidR="004C66B1" w:rsidRPr="00BF19AF" w:rsidTr="0088346A">
        <w:tc>
          <w:tcPr>
            <w:tcW w:w="1279" w:type="pct"/>
          </w:tcPr>
          <w:p w:rsidR="004C66B1" w:rsidRPr="0088346A" w:rsidRDefault="004C66B1" w:rsidP="0088346A">
            <w:pPr>
              <w:spacing w:line="480" w:lineRule="auto"/>
              <w:rPr>
                <w:b/>
                <w:vertAlign w:val="superscript"/>
                <w:lang w:val="en-US"/>
              </w:rPr>
            </w:pPr>
            <w:r w:rsidRPr="0088346A">
              <w:rPr>
                <w:b/>
                <w:lang w:val="en-US"/>
              </w:rPr>
              <w:t>C3-DG</w:t>
            </w:r>
            <w:r w:rsidRPr="0088346A">
              <w:rPr>
                <w:vertAlign w:val="superscript"/>
                <w:lang w:val="en-US"/>
              </w:rPr>
              <w:t>H</w:t>
            </w:r>
          </w:p>
        </w:tc>
        <w:tc>
          <w:tcPr>
            <w:tcW w:w="138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140</w:t>
            </w:r>
          </w:p>
        </w:tc>
        <w:tc>
          <w:tcPr>
            <w:tcW w:w="1053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91</w:t>
            </w:r>
          </w:p>
        </w:tc>
        <w:tc>
          <w:tcPr>
            <w:tcW w:w="1284" w:type="pct"/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49</w:t>
            </w:r>
          </w:p>
        </w:tc>
      </w:tr>
      <w:tr w:rsidR="004C66B1" w:rsidRPr="00BF19AF" w:rsidTr="0088346A">
        <w:tc>
          <w:tcPr>
            <w:tcW w:w="1279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480" w:lineRule="auto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C5aR-DG</w:t>
            </w:r>
            <w:r w:rsidRPr="0088346A">
              <w:rPr>
                <w:vertAlign w:val="superscript"/>
                <w:lang w:val="en-US"/>
              </w:rPr>
              <w:t>I</w:t>
            </w:r>
          </w:p>
        </w:tc>
        <w:tc>
          <w:tcPr>
            <w:tcW w:w="1383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</w:t>
            </w:r>
          </w:p>
        </w:tc>
        <w:tc>
          <w:tcPr>
            <w:tcW w:w="1053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1</w:t>
            </w:r>
          </w:p>
        </w:tc>
        <w:tc>
          <w:tcPr>
            <w:tcW w:w="1284" w:type="pct"/>
            <w:tcBorders>
              <w:bottom w:val="single" w:sz="12" w:space="0" w:color="auto"/>
            </w:tcBorders>
          </w:tcPr>
          <w:p w:rsidR="004C66B1" w:rsidRPr="0088346A" w:rsidRDefault="004C66B1" w:rsidP="0088346A">
            <w:pPr>
              <w:spacing w:line="480" w:lineRule="auto"/>
              <w:jc w:val="center"/>
              <w:rPr>
                <w:lang w:val="en-US"/>
              </w:rPr>
            </w:pPr>
            <w:r w:rsidRPr="0088346A">
              <w:rPr>
                <w:lang w:val="en-US"/>
              </w:rPr>
              <w:t>0</w:t>
            </w:r>
          </w:p>
        </w:tc>
      </w:tr>
    </w:tbl>
    <w:p w:rsidR="004C66B1" w:rsidRPr="00BF19AF" w:rsidRDefault="004C66B1" w:rsidP="004C66B1">
      <w:pPr>
        <w:spacing w:line="480" w:lineRule="auto"/>
        <w:rPr>
          <w:sz w:val="18"/>
          <w:szCs w:val="18"/>
          <w:lang w:val="en-US"/>
        </w:rPr>
      </w:pPr>
    </w:p>
    <w:p w:rsidR="004C66B1" w:rsidRPr="00BF19AF" w:rsidRDefault="004C66B1" w:rsidP="004C66B1">
      <w:pPr>
        <w:spacing w:line="48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 xml:space="preserve">A </w:t>
      </w:r>
      <w:r w:rsidRPr="00BF19AF">
        <w:rPr>
          <w:sz w:val="18"/>
          <w:szCs w:val="18"/>
          <w:lang w:val="en-US"/>
        </w:rPr>
        <w:t>Genes may count redundantly in different categories.</w:t>
      </w:r>
    </w:p>
    <w:p w:rsidR="004C66B1" w:rsidRPr="00BF19AF" w:rsidRDefault="004C66B1" w:rsidP="004C66B1">
      <w:pPr>
        <w:spacing w:line="48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 xml:space="preserve">B </w:t>
      </w:r>
      <w:proofErr w:type="gramStart"/>
      <w:r w:rsidRPr="00BF19AF">
        <w:rPr>
          <w:sz w:val="18"/>
          <w:szCs w:val="18"/>
          <w:lang w:val="en-US"/>
        </w:rPr>
        <w:t>Of</w:t>
      </w:r>
      <w:proofErr w:type="gramEnd"/>
      <w:r w:rsidRPr="00BF19AF">
        <w:rPr>
          <w:sz w:val="18"/>
          <w:szCs w:val="18"/>
          <w:lang w:val="en-US"/>
        </w:rPr>
        <w:t xml:space="preserve"> C5D </w:t>
      </w:r>
      <w:r w:rsidRPr="00BF19AF">
        <w:rPr>
          <w:i/>
          <w:sz w:val="18"/>
          <w:szCs w:val="18"/>
          <w:lang w:val="en-US"/>
        </w:rPr>
        <w:t>ERG</w:t>
      </w:r>
      <w:r w:rsidRPr="00BF19AF">
        <w:rPr>
          <w:sz w:val="18"/>
          <w:szCs w:val="18"/>
          <w:lang w:val="en-US"/>
        </w:rPr>
        <w:t>s, 163 were neither reversible (n=1517) nor augmentable (n=11), and, therefore, defined as independent of CD14, C3 and C5a receptor (CD88).</w:t>
      </w:r>
    </w:p>
    <w:p w:rsidR="004C66B1" w:rsidRPr="00BF19AF" w:rsidRDefault="004C66B1" w:rsidP="004C66B1">
      <w:pPr>
        <w:spacing w:line="48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C</w:t>
      </w:r>
      <w:r w:rsidRPr="00BF19AF">
        <w:rPr>
          <w:sz w:val="18"/>
          <w:szCs w:val="18"/>
          <w:lang w:val="en-US"/>
        </w:rPr>
        <w:t xml:space="preserve"> Reversed by at least one inhibitory strategy, including inhibition with a C5a receptor antagonist</w:t>
      </w:r>
    </w:p>
    <w:p w:rsidR="004C66B1" w:rsidRPr="00BF19AF" w:rsidRDefault="004C66B1" w:rsidP="004C66B1">
      <w:pPr>
        <w:spacing w:line="48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 xml:space="preserve">D </w:t>
      </w:r>
      <w:r w:rsidRPr="00BF19AF">
        <w:rPr>
          <w:sz w:val="18"/>
          <w:szCs w:val="18"/>
          <w:lang w:val="en-US"/>
        </w:rPr>
        <w:t>Not reversible at all</w:t>
      </w:r>
    </w:p>
    <w:p w:rsidR="004C66B1" w:rsidRPr="00BF19AF" w:rsidRDefault="004C66B1" w:rsidP="004C66B1">
      <w:pPr>
        <w:spacing w:line="48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E</w:t>
      </w:r>
      <w:r w:rsidRPr="00BF19AF">
        <w:rPr>
          <w:sz w:val="18"/>
          <w:szCs w:val="18"/>
          <w:lang w:val="en-US"/>
        </w:rPr>
        <w:t xml:space="preserve"> Fold change expression (FC) in response to </w:t>
      </w:r>
      <w:r w:rsidRPr="00BF19AF">
        <w:rPr>
          <w:i/>
          <w:sz w:val="18"/>
          <w:szCs w:val="18"/>
          <w:lang w:val="en-US"/>
        </w:rPr>
        <w:t>E. coli</w:t>
      </w:r>
      <w:r w:rsidRPr="00BF19AF">
        <w:rPr>
          <w:sz w:val="18"/>
          <w:szCs w:val="18"/>
          <w:lang w:val="en-US"/>
        </w:rPr>
        <w:t xml:space="preserve"> above two-fold (FC &gt; 2)</w:t>
      </w:r>
    </w:p>
    <w:p w:rsidR="004C66B1" w:rsidRPr="00BF19AF" w:rsidRDefault="004C66B1" w:rsidP="004C66B1">
      <w:pPr>
        <w:spacing w:line="48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 xml:space="preserve">F </w:t>
      </w:r>
      <w:r w:rsidRPr="00BF19AF">
        <w:rPr>
          <w:sz w:val="18"/>
          <w:szCs w:val="18"/>
          <w:lang w:val="en-US"/>
        </w:rPr>
        <w:t>C3- and CD14-dependent genes (sensitive to combined inhibition of C3 and CD14)</w:t>
      </w:r>
    </w:p>
    <w:p w:rsidR="004C66B1" w:rsidRPr="00BF19AF" w:rsidRDefault="004C66B1" w:rsidP="004C66B1">
      <w:pPr>
        <w:spacing w:line="48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G</w:t>
      </w:r>
      <w:r w:rsidRPr="00BF19AF">
        <w:rPr>
          <w:sz w:val="18"/>
          <w:szCs w:val="18"/>
          <w:lang w:val="en-US"/>
        </w:rPr>
        <w:t xml:space="preserve"> CD14-dependent genes (sensitive to inhibition of CD14 with anti-CD14)</w:t>
      </w:r>
    </w:p>
    <w:p w:rsidR="004C66B1" w:rsidRPr="00BF19AF" w:rsidRDefault="004C66B1" w:rsidP="004C66B1">
      <w:pPr>
        <w:spacing w:line="480" w:lineRule="auto"/>
        <w:rPr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H</w:t>
      </w:r>
      <w:r w:rsidRPr="00BF19AF">
        <w:rPr>
          <w:sz w:val="18"/>
          <w:szCs w:val="18"/>
          <w:lang w:val="en-US"/>
        </w:rPr>
        <w:t xml:space="preserve"> C3-dependent genes (sensitive to inhibition of C3 with </w:t>
      </w:r>
      <w:proofErr w:type="spellStart"/>
      <w:r w:rsidRPr="00BF19AF">
        <w:rPr>
          <w:sz w:val="18"/>
          <w:szCs w:val="18"/>
          <w:lang w:val="en-US"/>
        </w:rPr>
        <w:t>compstatin</w:t>
      </w:r>
      <w:proofErr w:type="spellEnd"/>
      <w:r w:rsidRPr="00BF19AF">
        <w:rPr>
          <w:sz w:val="18"/>
          <w:szCs w:val="18"/>
          <w:lang w:val="en-US"/>
        </w:rPr>
        <w:t>)</w:t>
      </w:r>
    </w:p>
    <w:p w:rsidR="00E3565F" w:rsidRDefault="004C66B1" w:rsidP="00E71FC0">
      <w:pPr>
        <w:spacing w:line="480" w:lineRule="auto"/>
        <w:rPr>
          <w:sz w:val="24"/>
          <w:szCs w:val="24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I</w:t>
      </w:r>
      <w:r w:rsidRPr="00BF19AF">
        <w:rPr>
          <w:sz w:val="18"/>
          <w:szCs w:val="18"/>
          <w:lang w:val="en-US"/>
        </w:rPr>
        <w:t xml:space="preserve"> C5aR-dependent genes (sensitive to inhibition of C5a receptor 1 (CD88) with C5aR antagonist)</w:t>
      </w:r>
    </w:p>
    <w:sectPr w:rsidR="00E3565F" w:rsidSect="00E71FC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61" w:rsidRDefault="004C3061" w:rsidP="007D4861">
      <w:r>
        <w:separator/>
      </w:r>
    </w:p>
  </w:endnote>
  <w:endnote w:type="continuationSeparator" w:id="0">
    <w:p w:rsidR="004C3061" w:rsidRDefault="004C3061" w:rsidP="007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61" w:rsidRDefault="004C3061" w:rsidP="007D4861">
      <w:r>
        <w:separator/>
      </w:r>
    </w:p>
  </w:footnote>
  <w:footnote w:type="continuationSeparator" w:id="0">
    <w:p w:rsidR="004C3061" w:rsidRDefault="004C3061" w:rsidP="007D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iomed Central&lt;/Style&gt;&lt;LeftDelim&gt;{&lt;/LeftDelim&gt;&lt;RightDelim&gt;}&lt;/RightDelim&gt;&lt;FontName&gt;Times New Roman&lt;/FontName&gt;&lt;FontSize&gt;12&lt;/FontSize&gt;&lt;ReflistTitle&gt;Supplementary 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icroarray artikkel 1 suppl&lt;/item&gt;&lt;/Libraries&gt;&lt;/ENLibraries&gt;"/>
  </w:docVars>
  <w:rsids>
    <w:rsidRoot w:val="007D4861"/>
    <w:rsid w:val="00003362"/>
    <w:rsid w:val="00005D61"/>
    <w:rsid w:val="0000674A"/>
    <w:rsid w:val="00016415"/>
    <w:rsid w:val="000206C7"/>
    <w:rsid w:val="00022632"/>
    <w:rsid w:val="00022FC4"/>
    <w:rsid w:val="00023613"/>
    <w:rsid w:val="000325D9"/>
    <w:rsid w:val="00034AF8"/>
    <w:rsid w:val="00040DF8"/>
    <w:rsid w:val="0004373C"/>
    <w:rsid w:val="00046806"/>
    <w:rsid w:val="000561D9"/>
    <w:rsid w:val="000567AD"/>
    <w:rsid w:val="00070302"/>
    <w:rsid w:val="00074F86"/>
    <w:rsid w:val="000809DB"/>
    <w:rsid w:val="00084EF0"/>
    <w:rsid w:val="00096A1A"/>
    <w:rsid w:val="000A24B6"/>
    <w:rsid w:val="000B1767"/>
    <w:rsid w:val="000B507F"/>
    <w:rsid w:val="000B6107"/>
    <w:rsid w:val="000D3AE8"/>
    <w:rsid w:val="000E6072"/>
    <w:rsid w:val="000E643E"/>
    <w:rsid w:val="000F0FEE"/>
    <w:rsid w:val="001010FB"/>
    <w:rsid w:val="001012B7"/>
    <w:rsid w:val="0010555B"/>
    <w:rsid w:val="00105629"/>
    <w:rsid w:val="001245DD"/>
    <w:rsid w:val="00125630"/>
    <w:rsid w:val="00125D12"/>
    <w:rsid w:val="001263E1"/>
    <w:rsid w:val="00127F31"/>
    <w:rsid w:val="00131E53"/>
    <w:rsid w:val="00146759"/>
    <w:rsid w:val="00147C3A"/>
    <w:rsid w:val="0015161E"/>
    <w:rsid w:val="001524EA"/>
    <w:rsid w:val="00152F76"/>
    <w:rsid w:val="00153D1B"/>
    <w:rsid w:val="00154D62"/>
    <w:rsid w:val="00162745"/>
    <w:rsid w:val="001632FC"/>
    <w:rsid w:val="00163CF1"/>
    <w:rsid w:val="001646C2"/>
    <w:rsid w:val="00171D03"/>
    <w:rsid w:val="001733AA"/>
    <w:rsid w:val="00173724"/>
    <w:rsid w:val="00177878"/>
    <w:rsid w:val="0018448C"/>
    <w:rsid w:val="00190931"/>
    <w:rsid w:val="00191C0C"/>
    <w:rsid w:val="001950E9"/>
    <w:rsid w:val="00195576"/>
    <w:rsid w:val="00196ECB"/>
    <w:rsid w:val="001A376F"/>
    <w:rsid w:val="001A6105"/>
    <w:rsid w:val="001A61FA"/>
    <w:rsid w:val="001A7C23"/>
    <w:rsid w:val="001B3A18"/>
    <w:rsid w:val="001B505A"/>
    <w:rsid w:val="001B5229"/>
    <w:rsid w:val="001B6465"/>
    <w:rsid w:val="001B7BB6"/>
    <w:rsid w:val="001C0E02"/>
    <w:rsid w:val="001C28C9"/>
    <w:rsid w:val="001E39BB"/>
    <w:rsid w:val="001E49C3"/>
    <w:rsid w:val="001E5CD3"/>
    <w:rsid w:val="001E5D77"/>
    <w:rsid w:val="001E6E08"/>
    <w:rsid w:val="001F1C90"/>
    <w:rsid w:val="00204486"/>
    <w:rsid w:val="002119BA"/>
    <w:rsid w:val="00211A93"/>
    <w:rsid w:val="00213A59"/>
    <w:rsid w:val="00220F23"/>
    <w:rsid w:val="002260BE"/>
    <w:rsid w:val="002333E7"/>
    <w:rsid w:val="00234684"/>
    <w:rsid w:val="0023545E"/>
    <w:rsid w:val="0023561C"/>
    <w:rsid w:val="00243710"/>
    <w:rsid w:val="0025021B"/>
    <w:rsid w:val="002615D1"/>
    <w:rsid w:val="002640F8"/>
    <w:rsid w:val="00270FE8"/>
    <w:rsid w:val="0027385F"/>
    <w:rsid w:val="002775B1"/>
    <w:rsid w:val="002813C2"/>
    <w:rsid w:val="002853D1"/>
    <w:rsid w:val="00291017"/>
    <w:rsid w:val="00295DF5"/>
    <w:rsid w:val="002A51D9"/>
    <w:rsid w:val="002A6AF3"/>
    <w:rsid w:val="002B5074"/>
    <w:rsid w:val="002C69F3"/>
    <w:rsid w:val="002D0523"/>
    <w:rsid w:val="002D7665"/>
    <w:rsid w:val="002E189C"/>
    <w:rsid w:val="002E26B7"/>
    <w:rsid w:val="002E482E"/>
    <w:rsid w:val="002E496B"/>
    <w:rsid w:val="002F6A9B"/>
    <w:rsid w:val="002F7701"/>
    <w:rsid w:val="00302171"/>
    <w:rsid w:val="00306BA9"/>
    <w:rsid w:val="003136A5"/>
    <w:rsid w:val="00321780"/>
    <w:rsid w:val="00323299"/>
    <w:rsid w:val="00323C03"/>
    <w:rsid w:val="00330885"/>
    <w:rsid w:val="00340C63"/>
    <w:rsid w:val="0034732D"/>
    <w:rsid w:val="003503C8"/>
    <w:rsid w:val="00354801"/>
    <w:rsid w:val="00361AF0"/>
    <w:rsid w:val="00365B87"/>
    <w:rsid w:val="00370EBC"/>
    <w:rsid w:val="0037783E"/>
    <w:rsid w:val="00382AA6"/>
    <w:rsid w:val="00383F6A"/>
    <w:rsid w:val="00384F6B"/>
    <w:rsid w:val="00392874"/>
    <w:rsid w:val="00397063"/>
    <w:rsid w:val="003970E5"/>
    <w:rsid w:val="003A4371"/>
    <w:rsid w:val="003B07E4"/>
    <w:rsid w:val="003B724B"/>
    <w:rsid w:val="003B7EDE"/>
    <w:rsid w:val="003C5F24"/>
    <w:rsid w:val="003C66B9"/>
    <w:rsid w:val="003D1623"/>
    <w:rsid w:val="003D3716"/>
    <w:rsid w:val="003D4B14"/>
    <w:rsid w:val="003E076D"/>
    <w:rsid w:val="003E26EB"/>
    <w:rsid w:val="003E47D7"/>
    <w:rsid w:val="003F4F3A"/>
    <w:rsid w:val="004025A4"/>
    <w:rsid w:val="004079DA"/>
    <w:rsid w:val="00413920"/>
    <w:rsid w:val="004150CF"/>
    <w:rsid w:val="00415750"/>
    <w:rsid w:val="004171DF"/>
    <w:rsid w:val="004203B2"/>
    <w:rsid w:val="00420C41"/>
    <w:rsid w:val="00426C96"/>
    <w:rsid w:val="00426FAD"/>
    <w:rsid w:val="0043172B"/>
    <w:rsid w:val="004331D5"/>
    <w:rsid w:val="004336D4"/>
    <w:rsid w:val="00435352"/>
    <w:rsid w:val="0043611E"/>
    <w:rsid w:val="00437348"/>
    <w:rsid w:val="004448AA"/>
    <w:rsid w:val="004524FE"/>
    <w:rsid w:val="0045689C"/>
    <w:rsid w:val="0045744F"/>
    <w:rsid w:val="004618CD"/>
    <w:rsid w:val="0047484D"/>
    <w:rsid w:val="00476B5D"/>
    <w:rsid w:val="004809FE"/>
    <w:rsid w:val="00481444"/>
    <w:rsid w:val="00491407"/>
    <w:rsid w:val="00493B1D"/>
    <w:rsid w:val="00495E5C"/>
    <w:rsid w:val="004965CC"/>
    <w:rsid w:val="004970CE"/>
    <w:rsid w:val="00497AC0"/>
    <w:rsid w:val="004A0B1A"/>
    <w:rsid w:val="004A18B2"/>
    <w:rsid w:val="004A2195"/>
    <w:rsid w:val="004A4C79"/>
    <w:rsid w:val="004B0D33"/>
    <w:rsid w:val="004B22E5"/>
    <w:rsid w:val="004B5581"/>
    <w:rsid w:val="004B65D0"/>
    <w:rsid w:val="004C17EB"/>
    <w:rsid w:val="004C2024"/>
    <w:rsid w:val="004C3061"/>
    <w:rsid w:val="004C3698"/>
    <w:rsid w:val="004C66B1"/>
    <w:rsid w:val="004D5623"/>
    <w:rsid w:val="004E542B"/>
    <w:rsid w:val="004F5009"/>
    <w:rsid w:val="004F6517"/>
    <w:rsid w:val="004F6DE5"/>
    <w:rsid w:val="0050434F"/>
    <w:rsid w:val="00505102"/>
    <w:rsid w:val="0050632B"/>
    <w:rsid w:val="005220CC"/>
    <w:rsid w:val="00523205"/>
    <w:rsid w:val="00526AED"/>
    <w:rsid w:val="00537D30"/>
    <w:rsid w:val="0055415F"/>
    <w:rsid w:val="005563EF"/>
    <w:rsid w:val="005615E2"/>
    <w:rsid w:val="00561EFA"/>
    <w:rsid w:val="005704CF"/>
    <w:rsid w:val="00573BFE"/>
    <w:rsid w:val="00584240"/>
    <w:rsid w:val="0059566B"/>
    <w:rsid w:val="005A2CD0"/>
    <w:rsid w:val="005A6AAC"/>
    <w:rsid w:val="005B1E31"/>
    <w:rsid w:val="005B4C2A"/>
    <w:rsid w:val="005E3E1D"/>
    <w:rsid w:val="005E5FD2"/>
    <w:rsid w:val="006067F0"/>
    <w:rsid w:val="00624813"/>
    <w:rsid w:val="00624F51"/>
    <w:rsid w:val="006253AE"/>
    <w:rsid w:val="00630840"/>
    <w:rsid w:val="006312FA"/>
    <w:rsid w:val="00632649"/>
    <w:rsid w:val="00640570"/>
    <w:rsid w:val="006409FF"/>
    <w:rsid w:val="00647BA9"/>
    <w:rsid w:val="00656E64"/>
    <w:rsid w:val="00662004"/>
    <w:rsid w:val="00662367"/>
    <w:rsid w:val="006632D5"/>
    <w:rsid w:val="006633B9"/>
    <w:rsid w:val="0066633F"/>
    <w:rsid w:val="00666CEA"/>
    <w:rsid w:val="0066764F"/>
    <w:rsid w:val="0068098D"/>
    <w:rsid w:val="00681B80"/>
    <w:rsid w:val="00686225"/>
    <w:rsid w:val="00686CAE"/>
    <w:rsid w:val="006924E0"/>
    <w:rsid w:val="00692F48"/>
    <w:rsid w:val="00695EB1"/>
    <w:rsid w:val="00697C3C"/>
    <w:rsid w:val="006A168A"/>
    <w:rsid w:val="006A1C9F"/>
    <w:rsid w:val="006A301A"/>
    <w:rsid w:val="006A353A"/>
    <w:rsid w:val="006A36B0"/>
    <w:rsid w:val="006A4335"/>
    <w:rsid w:val="006A4DEA"/>
    <w:rsid w:val="006A64B6"/>
    <w:rsid w:val="006A6936"/>
    <w:rsid w:val="006B14D5"/>
    <w:rsid w:val="006B1A07"/>
    <w:rsid w:val="006B53F1"/>
    <w:rsid w:val="006C09BC"/>
    <w:rsid w:val="006C4DDF"/>
    <w:rsid w:val="006C78A3"/>
    <w:rsid w:val="006C7CF2"/>
    <w:rsid w:val="006D6564"/>
    <w:rsid w:val="006E0DC8"/>
    <w:rsid w:val="006E26B4"/>
    <w:rsid w:val="006E5F2F"/>
    <w:rsid w:val="006F0910"/>
    <w:rsid w:val="006F41B4"/>
    <w:rsid w:val="006F4755"/>
    <w:rsid w:val="00702477"/>
    <w:rsid w:val="00702D47"/>
    <w:rsid w:val="00705F1E"/>
    <w:rsid w:val="00716E20"/>
    <w:rsid w:val="00721227"/>
    <w:rsid w:val="00726554"/>
    <w:rsid w:val="00745227"/>
    <w:rsid w:val="00745898"/>
    <w:rsid w:val="00754270"/>
    <w:rsid w:val="007572F4"/>
    <w:rsid w:val="00766A1D"/>
    <w:rsid w:val="00770B1D"/>
    <w:rsid w:val="00770CB1"/>
    <w:rsid w:val="007738E3"/>
    <w:rsid w:val="007814AF"/>
    <w:rsid w:val="00783069"/>
    <w:rsid w:val="00787774"/>
    <w:rsid w:val="00791710"/>
    <w:rsid w:val="0079375A"/>
    <w:rsid w:val="00795231"/>
    <w:rsid w:val="00797FBD"/>
    <w:rsid w:val="007A2321"/>
    <w:rsid w:val="007A35F1"/>
    <w:rsid w:val="007B3A57"/>
    <w:rsid w:val="007C10E1"/>
    <w:rsid w:val="007C4C68"/>
    <w:rsid w:val="007C57CE"/>
    <w:rsid w:val="007C7B09"/>
    <w:rsid w:val="007D2CFB"/>
    <w:rsid w:val="007D396B"/>
    <w:rsid w:val="007D4861"/>
    <w:rsid w:val="007E19F4"/>
    <w:rsid w:val="007F0D85"/>
    <w:rsid w:val="007F5A0E"/>
    <w:rsid w:val="008034D0"/>
    <w:rsid w:val="008044FE"/>
    <w:rsid w:val="00811D9F"/>
    <w:rsid w:val="00820790"/>
    <w:rsid w:val="00820B69"/>
    <w:rsid w:val="008216B0"/>
    <w:rsid w:val="0082263B"/>
    <w:rsid w:val="00825550"/>
    <w:rsid w:val="0082788E"/>
    <w:rsid w:val="00831CC0"/>
    <w:rsid w:val="008406CE"/>
    <w:rsid w:val="00846331"/>
    <w:rsid w:val="00851D15"/>
    <w:rsid w:val="008569E0"/>
    <w:rsid w:val="00865AB5"/>
    <w:rsid w:val="00865DBA"/>
    <w:rsid w:val="00866B25"/>
    <w:rsid w:val="0088346A"/>
    <w:rsid w:val="008853CF"/>
    <w:rsid w:val="008857D4"/>
    <w:rsid w:val="008918CE"/>
    <w:rsid w:val="0089258A"/>
    <w:rsid w:val="00896266"/>
    <w:rsid w:val="008962B3"/>
    <w:rsid w:val="00896C34"/>
    <w:rsid w:val="008A4E83"/>
    <w:rsid w:val="008A5075"/>
    <w:rsid w:val="008C3CA0"/>
    <w:rsid w:val="008D2365"/>
    <w:rsid w:val="008D282D"/>
    <w:rsid w:val="008D2E58"/>
    <w:rsid w:val="008E4366"/>
    <w:rsid w:val="008E4C96"/>
    <w:rsid w:val="008E5963"/>
    <w:rsid w:val="008E69FB"/>
    <w:rsid w:val="008F2339"/>
    <w:rsid w:val="008F5680"/>
    <w:rsid w:val="00900801"/>
    <w:rsid w:val="00905801"/>
    <w:rsid w:val="00906ED8"/>
    <w:rsid w:val="00907ABE"/>
    <w:rsid w:val="009132BE"/>
    <w:rsid w:val="00915558"/>
    <w:rsid w:val="00916315"/>
    <w:rsid w:val="00920A9F"/>
    <w:rsid w:val="00925EBD"/>
    <w:rsid w:val="009315A2"/>
    <w:rsid w:val="00947101"/>
    <w:rsid w:val="00950228"/>
    <w:rsid w:val="00952A78"/>
    <w:rsid w:val="00961352"/>
    <w:rsid w:val="00961ED6"/>
    <w:rsid w:val="0096471F"/>
    <w:rsid w:val="0096513C"/>
    <w:rsid w:val="009656CF"/>
    <w:rsid w:val="0096684F"/>
    <w:rsid w:val="00967FC3"/>
    <w:rsid w:val="00970F93"/>
    <w:rsid w:val="009738B8"/>
    <w:rsid w:val="00983EE2"/>
    <w:rsid w:val="00987447"/>
    <w:rsid w:val="009A2EC2"/>
    <w:rsid w:val="009A3353"/>
    <w:rsid w:val="009A56DC"/>
    <w:rsid w:val="009A7AFF"/>
    <w:rsid w:val="009B2BC3"/>
    <w:rsid w:val="009C381B"/>
    <w:rsid w:val="009C5FD2"/>
    <w:rsid w:val="009C7F5A"/>
    <w:rsid w:val="009E0D64"/>
    <w:rsid w:val="009E1139"/>
    <w:rsid w:val="009F349F"/>
    <w:rsid w:val="009F3565"/>
    <w:rsid w:val="00A044D3"/>
    <w:rsid w:val="00A15800"/>
    <w:rsid w:val="00A202E8"/>
    <w:rsid w:val="00A23911"/>
    <w:rsid w:val="00A32D9F"/>
    <w:rsid w:val="00A450E9"/>
    <w:rsid w:val="00A47795"/>
    <w:rsid w:val="00A60C82"/>
    <w:rsid w:val="00A614A1"/>
    <w:rsid w:val="00A62E91"/>
    <w:rsid w:val="00A671C9"/>
    <w:rsid w:val="00A67958"/>
    <w:rsid w:val="00A762B3"/>
    <w:rsid w:val="00A77C61"/>
    <w:rsid w:val="00A81C9B"/>
    <w:rsid w:val="00A916D8"/>
    <w:rsid w:val="00A9290E"/>
    <w:rsid w:val="00AA63F7"/>
    <w:rsid w:val="00AB1E1A"/>
    <w:rsid w:val="00AB3C72"/>
    <w:rsid w:val="00AB4A55"/>
    <w:rsid w:val="00AD5A6B"/>
    <w:rsid w:val="00AD7410"/>
    <w:rsid w:val="00AE0D55"/>
    <w:rsid w:val="00AE435A"/>
    <w:rsid w:val="00AE4DF7"/>
    <w:rsid w:val="00AE5061"/>
    <w:rsid w:val="00AE6F16"/>
    <w:rsid w:val="00AF1A31"/>
    <w:rsid w:val="00AF3BEB"/>
    <w:rsid w:val="00AF5379"/>
    <w:rsid w:val="00B00D1D"/>
    <w:rsid w:val="00B0110E"/>
    <w:rsid w:val="00B0264E"/>
    <w:rsid w:val="00B05AA8"/>
    <w:rsid w:val="00B0740F"/>
    <w:rsid w:val="00B0755E"/>
    <w:rsid w:val="00B07EED"/>
    <w:rsid w:val="00B157B4"/>
    <w:rsid w:val="00B21612"/>
    <w:rsid w:val="00B22DED"/>
    <w:rsid w:val="00B30742"/>
    <w:rsid w:val="00B35DE9"/>
    <w:rsid w:val="00B36165"/>
    <w:rsid w:val="00B36965"/>
    <w:rsid w:val="00B40362"/>
    <w:rsid w:val="00B41C53"/>
    <w:rsid w:val="00B4698A"/>
    <w:rsid w:val="00B574C6"/>
    <w:rsid w:val="00B6196D"/>
    <w:rsid w:val="00B655EC"/>
    <w:rsid w:val="00B6649F"/>
    <w:rsid w:val="00B75954"/>
    <w:rsid w:val="00B77662"/>
    <w:rsid w:val="00B8173E"/>
    <w:rsid w:val="00B841CF"/>
    <w:rsid w:val="00B84232"/>
    <w:rsid w:val="00B903C1"/>
    <w:rsid w:val="00BA1ECE"/>
    <w:rsid w:val="00BA2BD9"/>
    <w:rsid w:val="00BA35F2"/>
    <w:rsid w:val="00BA3DE1"/>
    <w:rsid w:val="00BB1F2D"/>
    <w:rsid w:val="00BB6DC4"/>
    <w:rsid w:val="00BC06C8"/>
    <w:rsid w:val="00BC3B6C"/>
    <w:rsid w:val="00BD1D2E"/>
    <w:rsid w:val="00BD2832"/>
    <w:rsid w:val="00BD3525"/>
    <w:rsid w:val="00BD3C70"/>
    <w:rsid w:val="00BD4CD6"/>
    <w:rsid w:val="00BD7B0F"/>
    <w:rsid w:val="00BD7D92"/>
    <w:rsid w:val="00BE0A97"/>
    <w:rsid w:val="00BF0317"/>
    <w:rsid w:val="00BF03FC"/>
    <w:rsid w:val="00BF1177"/>
    <w:rsid w:val="00BF7DAC"/>
    <w:rsid w:val="00C00872"/>
    <w:rsid w:val="00C0235E"/>
    <w:rsid w:val="00C06387"/>
    <w:rsid w:val="00C10DB0"/>
    <w:rsid w:val="00C12AA6"/>
    <w:rsid w:val="00C25826"/>
    <w:rsid w:val="00C264B2"/>
    <w:rsid w:val="00C332D0"/>
    <w:rsid w:val="00C36423"/>
    <w:rsid w:val="00C37018"/>
    <w:rsid w:val="00C424B2"/>
    <w:rsid w:val="00C50424"/>
    <w:rsid w:val="00C52901"/>
    <w:rsid w:val="00C619DC"/>
    <w:rsid w:val="00C804E1"/>
    <w:rsid w:val="00C85D34"/>
    <w:rsid w:val="00C90336"/>
    <w:rsid w:val="00C9388B"/>
    <w:rsid w:val="00C974BA"/>
    <w:rsid w:val="00CA067D"/>
    <w:rsid w:val="00CA2037"/>
    <w:rsid w:val="00CA351E"/>
    <w:rsid w:val="00CB234F"/>
    <w:rsid w:val="00CC3C1F"/>
    <w:rsid w:val="00CD1F9F"/>
    <w:rsid w:val="00CD5E3B"/>
    <w:rsid w:val="00CE5777"/>
    <w:rsid w:val="00CE5E02"/>
    <w:rsid w:val="00CF1848"/>
    <w:rsid w:val="00CF3C93"/>
    <w:rsid w:val="00CF5526"/>
    <w:rsid w:val="00CF6659"/>
    <w:rsid w:val="00D03028"/>
    <w:rsid w:val="00D04461"/>
    <w:rsid w:val="00D12389"/>
    <w:rsid w:val="00D304B5"/>
    <w:rsid w:val="00D4226A"/>
    <w:rsid w:val="00D555FA"/>
    <w:rsid w:val="00D557F6"/>
    <w:rsid w:val="00D57324"/>
    <w:rsid w:val="00D57673"/>
    <w:rsid w:val="00D6106F"/>
    <w:rsid w:val="00D67DE9"/>
    <w:rsid w:val="00D70887"/>
    <w:rsid w:val="00D73FAA"/>
    <w:rsid w:val="00D77D91"/>
    <w:rsid w:val="00D828B5"/>
    <w:rsid w:val="00D866E6"/>
    <w:rsid w:val="00D90953"/>
    <w:rsid w:val="00D939BA"/>
    <w:rsid w:val="00DA1F07"/>
    <w:rsid w:val="00DA3D19"/>
    <w:rsid w:val="00DA7FD0"/>
    <w:rsid w:val="00DB1EB3"/>
    <w:rsid w:val="00DB4072"/>
    <w:rsid w:val="00DB4159"/>
    <w:rsid w:val="00DB6DCC"/>
    <w:rsid w:val="00DC30AD"/>
    <w:rsid w:val="00DD6FCD"/>
    <w:rsid w:val="00DE4D2C"/>
    <w:rsid w:val="00DE638D"/>
    <w:rsid w:val="00DE6D53"/>
    <w:rsid w:val="00DF29D4"/>
    <w:rsid w:val="00E15AB7"/>
    <w:rsid w:val="00E16452"/>
    <w:rsid w:val="00E166FD"/>
    <w:rsid w:val="00E208C5"/>
    <w:rsid w:val="00E3565F"/>
    <w:rsid w:val="00E43207"/>
    <w:rsid w:val="00E4526B"/>
    <w:rsid w:val="00E4609E"/>
    <w:rsid w:val="00E46FD4"/>
    <w:rsid w:val="00E54220"/>
    <w:rsid w:val="00E554AC"/>
    <w:rsid w:val="00E71FC0"/>
    <w:rsid w:val="00E72E1E"/>
    <w:rsid w:val="00E75D62"/>
    <w:rsid w:val="00E810F9"/>
    <w:rsid w:val="00E813FC"/>
    <w:rsid w:val="00E81BE8"/>
    <w:rsid w:val="00E935CA"/>
    <w:rsid w:val="00E96419"/>
    <w:rsid w:val="00EA64B4"/>
    <w:rsid w:val="00EB7A03"/>
    <w:rsid w:val="00EC42B9"/>
    <w:rsid w:val="00EE1271"/>
    <w:rsid w:val="00EE3385"/>
    <w:rsid w:val="00EE6B72"/>
    <w:rsid w:val="00EF08E1"/>
    <w:rsid w:val="00EF2D7D"/>
    <w:rsid w:val="00EF4EC6"/>
    <w:rsid w:val="00EF6E69"/>
    <w:rsid w:val="00F01B13"/>
    <w:rsid w:val="00F04552"/>
    <w:rsid w:val="00F06C4A"/>
    <w:rsid w:val="00F13E0B"/>
    <w:rsid w:val="00F142C2"/>
    <w:rsid w:val="00F20A92"/>
    <w:rsid w:val="00F249A4"/>
    <w:rsid w:val="00F2624C"/>
    <w:rsid w:val="00F27DE2"/>
    <w:rsid w:val="00F30B2F"/>
    <w:rsid w:val="00F3139C"/>
    <w:rsid w:val="00F363CF"/>
    <w:rsid w:val="00F36A56"/>
    <w:rsid w:val="00F36BC0"/>
    <w:rsid w:val="00F374EA"/>
    <w:rsid w:val="00F407EE"/>
    <w:rsid w:val="00F4172A"/>
    <w:rsid w:val="00F4175F"/>
    <w:rsid w:val="00F52E5D"/>
    <w:rsid w:val="00F61874"/>
    <w:rsid w:val="00F742F3"/>
    <w:rsid w:val="00F80A46"/>
    <w:rsid w:val="00F81717"/>
    <w:rsid w:val="00F91D91"/>
    <w:rsid w:val="00F92F1E"/>
    <w:rsid w:val="00F945ED"/>
    <w:rsid w:val="00FA2CE2"/>
    <w:rsid w:val="00FA5837"/>
    <w:rsid w:val="00FB2B98"/>
    <w:rsid w:val="00FB6478"/>
    <w:rsid w:val="00FC157D"/>
    <w:rsid w:val="00FC2AFA"/>
    <w:rsid w:val="00FD1546"/>
    <w:rsid w:val="00FD1BA0"/>
    <w:rsid w:val="00FD59F8"/>
    <w:rsid w:val="00FE4CDD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1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7D48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D4861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7D48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4861"/>
    <w:rPr>
      <w:lang w:eastAsia="en-US" w:bidi="he-IL"/>
    </w:rPr>
  </w:style>
  <w:style w:type="character" w:styleId="Linjenummer">
    <w:name w:val="line number"/>
    <w:basedOn w:val="Standardskriftforavsnitt"/>
    <w:uiPriority w:val="99"/>
    <w:semiHidden/>
    <w:unhideWhenUsed/>
    <w:rsid w:val="007D4861"/>
  </w:style>
  <w:style w:type="character" w:styleId="Hyperkobling">
    <w:name w:val="Hyperlink"/>
    <w:basedOn w:val="Standardskriftforavsnitt"/>
    <w:uiPriority w:val="99"/>
    <w:unhideWhenUsed/>
    <w:rsid w:val="006E26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B2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79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83"/>
    <w:rPr>
      <w:rFonts w:ascii="Tahoma" w:hAnsi="Tahoma" w:cs="Tahoma"/>
      <w:sz w:val="16"/>
      <w:szCs w:val="16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7B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0F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0F"/>
    <w:rPr>
      <w:sz w:val="24"/>
      <w:szCs w:val="24"/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FA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FAA"/>
    <w:rPr>
      <w:b/>
      <w:bCs/>
      <w:sz w:val="24"/>
      <w:szCs w:val="24"/>
      <w:lang w:eastAsia="en-US" w:bidi="he-IL"/>
    </w:rPr>
  </w:style>
  <w:style w:type="table" w:customStyle="1" w:styleId="Tabellrutenett2">
    <w:name w:val="Tabellrutenett2"/>
    <w:basedOn w:val="Vanligtabell"/>
    <w:next w:val="Tabellrutenett"/>
    <w:uiPriority w:val="59"/>
    <w:rsid w:val="00BC06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next w:val="Tabellrutenett"/>
    <w:uiPriority w:val="59"/>
    <w:rsid w:val="00A6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next w:val="Tabellrutenett"/>
    <w:uiPriority w:val="59"/>
    <w:rsid w:val="004C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CFA8-3241-4133-A81C-AAB1616A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Cla002</dc:creator>
  <cp:keywords/>
  <dc:description/>
  <cp:lastModifiedBy>Cla002</cp:lastModifiedBy>
  <cp:revision>8</cp:revision>
  <cp:lastPrinted>2014-02-05T06:26:00Z</cp:lastPrinted>
  <dcterms:created xsi:type="dcterms:W3CDTF">2014-04-29T09:04:00Z</dcterms:created>
  <dcterms:modified xsi:type="dcterms:W3CDTF">2015-01-05T14:02:00Z</dcterms:modified>
</cp:coreProperties>
</file>