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Ind w:w="-1148" w:type="dxa"/>
        <w:tblCellMar>
          <w:left w:w="0" w:type="dxa"/>
          <w:right w:w="0" w:type="dxa"/>
        </w:tblCellMar>
        <w:tblLook w:val="04A0"/>
      </w:tblPr>
      <w:tblGrid>
        <w:gridCol w:w="1179"/>
        <w:gridCol w:w="858"/>
        <w:gridCol w:w="1478"/>
        <w:gridCol w:w="1180"/>
        <w:gridCol w:w="1177"/>
        <w:gridCol w:w="1396"/>
        <w:gridCol w:w="1178"/>
        <w:gridCol w:w="1176"/>
        <w:gridCol w:w="1178"/>
      </w:tblGrid>
      <w:tr w:rsidR="00A30C17" w:rsidRPr="00A30C17" w:rsidTr="00A30C17">
        <w:trPr>
          <w:trHeight w:val="709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 xml:space="preserve">Supplementary Table 5a  Results of association analysis for nephrolithiasis  in stage3/replication 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>SNP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rPr>
                <w:b/>
                <w:bCs/>
              </w:rPr>
              <w:t>Chr</w:t>
            </w:r>
            <w:r w:rsidRPr="00A30C17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>Position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>gene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 xml:space="preserve">Case </w:t>
            </w:r>
            <w:proofErr w:type="spellStart"/>
            <w:r w:rsidRPr="00A30C17">
              <w:rPr>
                <w:b/>
                <w:bCs/>
              </w:rPr>
              <w:t>MAF</w:t>
            </w:r>
            <w:r w:rsidRPr="00A30C17">
              <w:rPr>
                <w:b/>
                <w:bCs/>
                <w:vertAlign w:val="superscript"/>
              </w:rPr>
              <w:t>b</w:t>
            </w:r>
            <w:proofErr w:type="spellEnd"/>
            <w:r w:rsidRPr="00A30C17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 xml:space="preserve">Control </w:t>
            </w:r>
            <w:proofErr w:type="spellStart"/>
            <w:r w:rsidRPr="00A30C17">
              <w:rPr>
                <w:b/>
                <w:bCs/>
              </w:rPr>
              <w:t>MAF</w:t>
            </w:r>
            <w:r w:rsidRPr="00A30C17">
              <w:rPr>
                <w:b/>
                <w:bCs/>
                <w:vertAlign w:val="superscript"/>
              </w:rPr>
              <w:t>b</w:t>
            </w:r>
            <w:proofErr w:type="spellEnd"/>
            <w:r w:rsidRPr="00A30C17">
              <w:rPr>
                <w:b/>
                <w:bCs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  <w:i/>
                <w:iCs/>
              </w:rPr>
              <w:t>P</w:t>
            </w:r>
            <w:r w:rsidRPr="00A30C17">
              <w:rPr>
                <w:b/>
                <w:bCs/>
                <w:vertAlign w:val="superscript"/>
              </w:rPr>
              <w:t>c</w:t>
            </w:r>
            <w:r w:rsidRPr="00A30C17">
              <w:rPr>
                <w:b/>
                <w:bCs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rPr>
                <w:b/>
                <w:bCs/>
              </w:rPr>
              <w:t>OR</w:t>
            </w:r>
            <w:r w:rsidRPr="00A30C17">
              <w:rPr>
                <w:b/>
                <w:bCs/>
                <w:vertAlign w:val="superscript"/>
              </w:rPr>
              <w:t>d</w:t>
            </w:r>
            <w:proofErr w:type="spellEnd"/>
            <w:r w:rsidRPr="00A30C17">
              <w:rPr>
                <w:b/>
                <w:bCs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>95%CI</w:t>
            </w:r>
            <w:r w:rsidRPr="00A30C17">
              <w:rPr>
                <w:b/>
                <w:bCs/>
                <w:vertAlign w:val="superscript"/>
              </w:rPr>
              <w:t>d</w:t>
            </w:r>
            <w:r w:rsidRPr="00A30C17">
              <w:rPr>
                <w:b/>
                <w:bCs/>
              </w:rPr>
              <w:t xml:space="preserve"> 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rs13023094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27910706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SLC4A1AP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0.410 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0.400 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2.84x10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1.04 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0.97-1.12 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rs12654812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176794191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RGS14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0.386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5.27x10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1.08-1.26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rs11746443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176798306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RGS14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0.278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0.250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4.64x10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1.16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1.07-1.26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rs12669187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30915478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FAM188B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0.205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0.182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1.59x10</w:t>
            </w:r>
            <w:r w:rsidRPr="00A30C17">
              <w:rPr>
                <w:vertAlign w:val="superscript"/>
              </w:rPr>
              <w:t>-3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1.16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1.06-1.27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rs1000597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30937178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No gene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0.230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0.203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5.43x10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1.07-1.28 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rs7981733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42690060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0.318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0.334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7.05x10</w:t>
            </w:r>
            <w:r w:rsidRPr="00A30C17">
              <w:rPr>
                <w:vertAlign w:val="superscript"/>
              </w:rPr>
              <w:t>-2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0.99-1.16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rs1170155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42702711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0.339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0.353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1.32x10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1.06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0.98-1.15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rs1170178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42705808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0.465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0.450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1.11x10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1.06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0.99-1.14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rs4142110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42754522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0.431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0.459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2.18x10</w:t>
            </w:r>
            <w:r w:rsidRPr="00A30C17">
              <w:rPr>
                <w:vertAlign w:val="superscript"/>
              </w:rPr>
              <w:t>-3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1.04-1.20</w:t>
            </w:r>
          </w:p>
        </w:tc>
      </w:tr>
      <w:tr w:rsidR="00A30C17" w:rsidRPr="00A30C17" w:rsidTr="00A30C17">
        <w:trPr>
          <w:trHeight w:val="470"/>
          <w:jc w:val="center"/>
        </w:trPr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rs3765623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3086065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MYOM1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0.109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0.098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3.71x10</w:t>
            </w:r>
            <w:r w:rsidRPr="00A30C17">
              <w:rPr>
                <w:vertAlign w:val="superscript"/>
              </w:rPr>
              <w:t>-2</w:t>
            </w:r>
            <w:r w:rsidRPr="00A30C17"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1.13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1.01-1.28</w:t>
            </w:r>
          </w:p>
        </w:tc>
      </w:tr>
      <w:tr w:rsidR="00A30C17" w:rsidRPr="00A30C17" w:rsidTr="00A30C17">
        <w:trPr>
          <w:trHeight w:val="834"/>
          <w:jc w:val="center"/>
        </w:trPr>
        <w:tc>
          <w:tcPr>
            <w:tcW w:w="1080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Note: 2,109 </w:t>
            </w:r>
            <w:r w:rsidRPr="00A30C17">
              <w:rPr>
                <w:lang w:val="it-IT"/>
              </w:rPr>
              <w:t>Nephrolithiasis</w:t>
            </w:r>
            <w:r w:rsidRPr="00A30C17">
              <w:t xml:space="preserve"> cases and 4,622 controls were analyzed. </w:t>
            </w:r>
            <w:proofErr w:type="spellStart"/>
            <w:proofErr w:type="gramStart"/>
            <w:r w:rsidRPr="00A30C17">
              <w:rPr>
                <w:vertAlign w:val="superscript"/>
              </w:rPr>
              <w:t>a</w:t>
            </w:r>
            <w:r w:rsidRPr="00A30C17">
              <w:t>Chr</w:t>
            </w:r>
            <w:proofErr w:type="spellEnd"/>
            <w:proofErr w:type="gramEnd"/>
            <w:r w:rsidRPr="00A30C17">
              <w:t xml:space="preserve">: Chromosome. </w:t>
            </w:r>
            <w:proofErr w:type="spellStart"/>
            <w:proofErr w:type="gramStart"/>
            <w:r w:rsidRPr="00A30C17">
              <w:rPr>
                <w:vertAlign w:val="superscript"/>
              </w:rPr>
              <w:t>b</w:t>
            </w:r>
            <w:r w:rsidRPr="00A30C17">
              <w:t>MAF</w:t>
            </w:r>
            <w:proofErr w:type="spellEnd"/>
            <w:proofErr w:type="gramEnd"/>
            <w:r w:rsidRPr="00A30C17">
              <w:t xml:space="preserve">: minor allele frequency. </w:t>
            </w:r>
            <w:proofErr w:type="spellStart"/>
            <w:proofErr w:type="gramStart"/>
            <w:r w:rsidRPr="00A30C17">
              <w:rPr>
                <w:vertAlign w:val="superscript"/>
              </w:rPr>
              <w:t>c</w:t>
            </w:r>
            <w:r w:rsidRPr="00A30C17">
              <w:rPr>
                <w:i/>
                <w:iCs/>
              </w:rPr>
              <w:t>P</w:t>
            </w:r>
            <w:proofErr w:type="spellEnd"/>
            <w:proofErr w:type="gramEnd"/>
            <w:r w:rsidRPr="00A30C17">
              <w:t xml:space="preserve"> value obtained from Cochrane-Armitage trend test. </w:t>
            </w:r>
            <w:proofErr w:type="spellStart"/>
            <w:proofErr w:type="gramStart"/>
            <w:r w:rsidRPr="00A30C17">
              <w:rPr>
                <w:vertAlign w:val="superscript"/>
              </w:rPr>
              <w:t>d</w:t>
            </w:r>
            <w:r w:rsidRPr="00A30C17">
              <w:t>Odds</w:t>
            </w:r>
            <w:proofErr w:type="spellEnd"/>
            <w:proofErr w:type="gramEnd"/>
            <w:r w:rsidRPr="00A30C17">
              <w:t xml:space="preserve"> ratios (OR) and confidence interval (CI) are calculated using the non-susceptible allele as reference.</w:t>
            </w:r>
          </w:p>
        </w:tc>
      </w:tr>
    </w:tbl>
    <w:p w:rsidR="00E07F7D" w:rsidRDefault="00E07F7D">
      <w:pPr>
        <w:rPr>
          <w:rFonts w:hint="eastAsia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1226"/>
        <w:gridCol w:w="1429"/>
        <w:gridCol w:w="538"/>
        <w:gridCol w:w="1113"/>
        <w:gridCol w:w="667"/>
        <w:gridCol w:w="744"/>
        <w:gridCol w:w="1204"/>
        <w:gridCol w:w="646"/>
        <w:gridCol w:w="1352"/>
        <w:gridCol w:w="817"/>
      </w:tblGrid>
      <w:tr w:rsidR="00A30C17" w:rsidRPr="00A30C17" w:rsidTr="00A30C17">
        <w:trPr>
          <w:trHeight w:val="561"/>
          <w:jc w:val="center"/>
        </w:trPr>
        <w:tc>
          <w:tcPr>
            <w:tcW w:w="102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b/>
                <w:bCs/>
              </w:rPr>
              <w:t>Supplementary Table 5b Results of meta analysis of 3stages</w:t>
            </w:r>
            <w:r w:rsidRPr="00A30C17">
              <w:t xml:space="preserve"> </w:t>
            </w:r>
          </w:p>
        </w:tc>
      </w:tr>
      <w:tr w:rsidR="00A30C17" w:rsidRPr="00A30C17" w:rsidTr="00A30C17">
        <w:trPr>
          <w:trHeight w:val="534"/>
          <w:jc w:val="center"/>
        </w:trPr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Chr</w:t>
            </w:r>
            <w:r w:rsidRPr="00A30C17">
              <w:rPr>
                <w:vertAlign w:val="superscript"/>
              </w:rPr>
              <w:t>a</w:t>
            </w:r>
            <w:proofErr w:type="spellEnd"/>
            <w:r w:rsidRPr="00A30C17">
              <w:rPr>
                <w:vertAlign w:val="superscript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SNP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stage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allele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gene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Case </w:t>
            </w:r>
            <w:proofErr w:type="spellStart"/>
            <w:r w:rsidRPr="00A30C17">
              <w:t>MAF</w:t>
            </w:r>
            <w:r w:rsidRPr="00A30C17">
              <w:rPr>
                <w:vertAlign w:val="superscript"/>
              </w:rPr>
              <w:t>b</w:t>
            </w:r>
            <w:proofErr w:type="spellEnd"/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Control </w:t>
            </w:r>
            <w:proofErr w:type="spellStart"/>
            <w:r w:rsidRPr="00A30C17">
              <w:t>MAF</w:t>
            </w:r>
            <w:r w:rsidRPr="00A30C17">
              <w:rPr>
                <w:vertAlign w:val="superscript"/>
              </w:rPr>
              <w:t>b</w:t>
            </w:r>
            <w:proofErr w:type="spellEnd"/>
            <w:r w:rsidRPr="00A30C17"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P</w:t>
            </w:r>
            <w:r w:rsidRPr="00A30C17">
              <w:rPr>
                <w:vertAlign w:val="superscript"/>
              </w:rPr>
              <w:t>c</w:t>
            </w:r>
            <w:r w:rsidRPr="00A30C17">
              <w:rPr>
                <w:i/>
                <w:iCs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OR</w:t>
            </w:r>
            <w:r w:rsidRPr="00A30C17">
              <w:rPr>
                <w:vertAlign w:val="superscript"/>
              </w:rPr>
              <w:t>d</w:t>
            </w:r>
            <w:proofErr w:type="spellEnd"/>
            <w:r w:rsidRPr="00A30C17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95%CI</w:t>
            </w:r>
            <w:r w:rsidRPr="00A30C17">
              <w:rPr>
                <w:vertAlign w:val="superscript"/>
              </w:rPr>
              <w:t>d</w:t>
            </w:r>
            <w:r w:rsidRPr="00A30C17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P</w:t>
            </w:r>
            <w:r w:rsidRPr="00A30C17">
              <w:rPr>
                <w:vertAlign w:val="subscript"/>
              </w:rPr>
              <w:t>het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rPr>
                <w:vertAlign w:val="subscript"/>
              </w:rPr>
              <w:t xml:space="preserve">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rs13023094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C/A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SLC4A1AP</w:t>
            </w:r>
            <w:r w:rsidRPr="00A30C17">
              <w:br/>
              <w:t>(2p23.2)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0.438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0.389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7.05x10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1.22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(1.11-1.35)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5.84x10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(1.07-1.22)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2.84x10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(0.97-1.12)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3.61x10</w:t>
            </w:r>
            <w:r w:rsidRPr="00A30C17">
              <w:rPr>
                <w:vertAlign w:val="superscript"/>
              </w:rPr>
              <w:t>-7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(1.07-1.17)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0.027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rs12654812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T/C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RGS14</w:t>
            </w:r>
            <w:r w:rsidRPr="00A30C17">
              <w:br/>
              <w:t>(5q35.3)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0.397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0.346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1.98x10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1.24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(1.13-1.37)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0.381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1.34x10</w:t>
            </w:r>
            <w:r w:rsidRPr="00A30C17">
              <w:rPr>
                <w:vertAlign w:val="superscript"/>
              </w:rPr>
              <w:t>-7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(1.09-1.2)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5.27x10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(1.11-1.23)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4.42x10</w:t>
            </w:r>
            <w:r w:rsidRPr="00A30C17">
              <w:rPr>
                <w:vertAlign w:val="superscript"/>
              </w:rPr>
              <w:t>-11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(1.11-1.22)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0.267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rs11746443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T/C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RGS14</w:t>
            </w:r>
            <w:r w:rsidRPr="00A30C17">
              <w:br/>
              <w:t>(5q35.3)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0.244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1.62x10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1.27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(1.14-1.41)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0.252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3.00x10</w:t>
            </w:r>
            <w:r w:rsidRPr="00A30C17">
              <w:rPr>
                <w:vertAlign w:val="superscript"/>
              </w:rPr>
              <w:t>-8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(1.1-1.23)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0.278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4.64x10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(1.07-1.26)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8.51x10</w:t>
            </w:r>
            <w:r w:rsidRPr="00A30C17">
              <w:rPr>
                <w:vertAlign w:val="superscript"/>
              </w:rPr>
              <w:t>-12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(1.13-1.24)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0.378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rs12669187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T/C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FAM188B</w:t>
            </w:r>
            <w:r w:rsidRPr="00A30C17">
              <w:br/>
              <w:t>(7p14.3)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0.223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0.176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1.04x10</w:t>
            </w:r>
            <w:r w:rsidRPr="00A30C17">
              <w:rPr>
                <w:vertAlign w:val="superscript"/>
              </w:rPr>
              <w:t>-6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1.34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(1.19-1.51)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2.70x10</w:t>
            </w:r>
            <w:r w:rsidRPr="00A30C17">
              <w:rPr>
                <w:vertAlign w:val="superscript"/>
              </w:rPr>
              <w:t>-8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(1.12-1.26)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0.182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1.59x10</w:t>
            </w:r>
            <w:r w:rsidRPr="00A30C17">
              <w:rPr>
                <w:vertAlign w:val="superscript"/>
              </w:rPr>
              <w:t>-3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(1.06-1.27)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1.48x10</w:t>
            </w:r>
            <w:r w:rsidRPr="00A30C17">
              <w:rPr>
                <w:vertAlign w:val="superscript"/>
              </w:rPr>
              <w:t>-12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(1.17-1.33)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0.150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rs1000597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G/A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No gene</w:t>
            </w:r>
            <w:r w:rsidRPr="00A30C17">
              <w:br/>
              <w:t>(7p14.3)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0.247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0.202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1.06x10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1.29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(1.15-1.45)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1.42x10</w:t>
            </w:r>
            <w:r w:rsidRPr="00A30C17">
              <w:rPr>
                <w:vertAlign w:val="superscript"/>
              </w:rPr>
              <w:t>-10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(1.14-1.28)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0.203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5.43x10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(1.07-1.28)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2.16x10</w:t>
            </w:r>
            <w:r w:rsidRPr="00A30C17">
              <w:rPr>
                <w:vertAlign w:val="superscript"/>
              </w:rPr>
              <w:t>-14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(1.15-1.28)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0.370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rs7981733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A/G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  <w:r w:rsidRPr="00A30C17">
              <w:br/>
              <w:t>(13q14.1)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0.283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0.342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4.08x10</w:t>
            </w:r>
            <w:r w:rsidRPr="00A30C17">
              <w:rPr>
                <w:vertAlign w:val="superscript"/>
              </w:rPr>
              <w:t>-7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1.32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(1.19-1.47)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0.341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1.54x10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(1.05-1.16)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0.334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7.05x10</w:t>
            </w:r>
            <w:r w:rsidRPr="00A30C17">
              <w:rPr>
                <w:vertAlign w:val="superscript"/>
              </w:rPr>
              <w:t>-2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(0.99-1.16)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1.43x10</w:t>
            </w:r>
            <w:r w:rsidRPr="00A30C17">
              <w:rPr>
                <w:vertAlign w:val="superscript"/>
              </w:rPr>
              <w:t>-8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(1.09-1.20)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0.009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rs1170155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A/G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  <w:r w:rsidRPr="00A30C17">
              <w:br/>
              <w:t>(13q14.1)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0.306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0.359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1.15x10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1.27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(1.14-1.41)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0.364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1.32x10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(1.07-1.18)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0.353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1.32x10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(0.98-1.15)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3.89x10</w:t>
            </w:r>
            <w:r w:rsidRPr="00A30C17">
              <w:rPr>
                <w:vertAlign w:val="superscript"/>
              </w:rPr>
              <w:t>-9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(1.10-1.20)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0.021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rs1170178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A/G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  <w:r w:rsidRPr="00A30C17">
              <w:br/>
              <w:t>(13q14.1)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0.494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0.440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1.60x10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1.24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(1.13-1.37)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0.437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2.91x10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(1.04-1.15)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0.465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1.11x10</w:t>
            </w:r>
            <w:r w:rsidRPr="00A30C17">
              <w:rPr>
                <w:vertAlign w:val="superscript"/>
              </w:rPr>
              <w:t>-1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1.06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(0.99-1.14)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1.91x10</w:t>
            </w:r>
            <w:r w:rsidRPr="00A30C17">
              <w:rPr>
                <w:vertAlign w:val="superscript"/>
              </w:rPr>
              <w:t>-7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(1.08-1.17)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0.043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13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rs4142110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A/G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DGKH</w:t>
            </w:r>
            <w:r w:rsidRPr="00A30C17">
              <w:br/>
              <w:t>(13q14.1)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0.410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0.460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7.15x10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1.22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(1.11-1.35)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0.458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4.72x10</w:t>
            </w:r>
            <w:r w:rsidRPr="00A30C17">
              <w:rPr>
                <w:vertAlign w:val="superscript"/>
              </w:rPr>
              <w:t>-6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(1.07-1.18)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0.431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0.459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2.18x10</w:t>
            </w:r>
            <w:r w:rsidRPr="00A30C17">
              <w:rPr>
                <w:vertAlign w:val="superscript"/>
              </w:rPr>
              <w:t>-3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(1.04-1.20)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4.62x10</w:t>
            </w:r>
            <w:r w:rsidRPr="00A30C17">
              <w:rPr>
                <w:vertAlign w:val="superscript"/>
              </w:rPr>
              <w:t>-9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(1.09-1.19)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0.301 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18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rs3765623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GWAS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A/G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rPr>
                <w:i/>
                <w:iCs/>
              </w:rPr>
              <w:t>MYOM1</w:t>
            </w:r>
            <w:r w:rsidRPr="00A30C17">
              <w:rPr>
                <w:i/>
                <w:iCs/>
              </w:rPr>
              <w:br/>
            </w:r>
            <w:r w:rsidRPr="00A30C17">
              <w:t>(18p11.3)</w:t>
            </w:r>
            <w:r w:rsidRPr="00A30C17">
              <w:rPr>
                <w:i/>
                <w:iCs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0.115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0.086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3.82x10</w:t>
            </w:r>
            <w:r w:rsidRPr="00A30C17">
              <w:rPr>
                <w:vertAlign w:val="superscript"/>
              </w:rPr>
              <w:t>-5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1.38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(1.18-1.61)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0.091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1.13x10</w:t>
            </w:r>
            <w:r w:rsidRPr="00A30C17">
              <w:rPr>
                <w:vertAlign w:val="superscript"/>
              </w:rPr>
              <w:t>-4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(1.08-1.27)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Screening3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0.098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3.71x10</w:t>
            </w:r>
            <w:r w:rsidRPr="00A30C17">
              <w:rPr>
                <w:vertAlign w:val="superscript"/>
              </w:rPr>
              <w:t>-2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1.13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(1.01-1.28)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/>
        </w:tc>
      </w:tr>
      <w:tr w:rsidR="00A30C17" w:rsidRPr="00A30C17" w:rsidTr="00A30C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proofErr w:type="spellStart"/>
            <w:r w:rsidRPr="00A30C17">
              <w:t>Combined</w:t>
            </w:r>
            <w:r w:rsidRPr="00A30C17">
              <w:rPr>
                <w:vertAlign w:val="superscript"/>
              </w:rPr>
              <w:t>e</w:t>
            </w:r>
            <w:proofErr w:type="spellEnd"/>
            <w:r w:rsidRPr="00A30C17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0C17" w:rsidRPr="00A30C17" w:rsidRDefault="00A30C17" w:rsidP="00A30C17"/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>1.28x10</w:t>
            </w:r>
            <w:r w:rsidRPr="00A30C17">
              <w:rPr>
                <w:vertAlign w:val="superscript"/>
              </w:rPr>
              <w:t>-7</w:t>
            </w:r>
            <w:r w:rsidRPr="00A30C1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1.21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(1.13-1.30)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A30C17" w:rsidRDefault="00A30C17" w:rsidP="00A30C17">
            <w:r w:rsidRPr="00A30C17">
              <w:t xml:space="preserve">0.141 </w:t>
            </w:r>
          </w:p>
        </w:tc>
      </w:tr>
      <w:tr w:rsidR="00A30C17" w:rsidRPr="00A30C17" w:rsidTr="00A30C17">
        <w:trPr>
          <w:trHeight w:val="1326"/>
          <w:jc w:val="center"/>
        </w:trPr>
        <w:tc>
          <w:tcPr>
            <w:tcW w:w="1020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C17" w:rsidRPr="00A30C17" w:rsidRDefault="00A30C17" w:rsidP="00A30C17">
            <w:r w:rsidRPr="00A30C17">
              <w:t xml:space="preserve">Note: 5,796 (904 in GWAS, 2,783 in stage2 and 2,109 in stage3) </w:t>
            </w:r>
            <w:r w:rsidRPr="00A30C17">
              <w:rPr>
                <w:lang w:val="it-IT"/>
              </w:rPr>
              <w:t>Nephrolithiasis</w:t>
            </w:r>
            <w:r w:rsidRPr="00A30C17">
              <w:t xml:space="preserve"> cases and 17,344 (7,471 in GWAS, 5251 in stage2 and 4,622 in stage3) controls were analyzed.  </w:t>
            </w:r>
          </w:p>
          <w:p w:rsidR="00000000" w:rsidRPr="00A30C17" w:rsidRDefault="00A30C17" w:rsidP="00A30C17">
            <w:proofErr w:type="spellStart"/>
            <w:proofErr w:type="gramStart"/>
            <w:r w:rsidRPr="00A30C17">
              <w:rPr>
                <w:vertAlign w:val="superscript"/>
              </w:rPr>
              <w:t>a</w:t>
            </w:r>
            <w:r w:rsidRPr="00A30C17">
              <w:t>Chr</w:t>
            </w:r>
            <w:proofErr w:type="spellEnd"/>
            <w:proofErr w:type="gramEnd"/>
            <w:r w:rsidRPr="00A30C17">
              <w:t xml:space="preserve">: chromosome </w:t>
            </w:r>
            <w:r w:rsidRPr="00A30C17">
              <w:rPr>
                <w:vertAlign w:val="superscript"/>
              </w:rPr>
              <w:t xml:space="preserve"> </w:t>
            </w:r>
            <w:proofErr w:type="spellStart"/>
            <w:r w:rsidRPr="00A30C17">
              <w:rPr>
                <w:vertAlign w:val="superscript"/>
              </w:rPr>
              <w:t>b</w:t>
            </w:r>
            <w:r w:rsidRPr="00A30C17">
              <w:t>MAF</w:t>
            </w:r>
            <w:proofErr w:type="spellEnd"/>
            <w:r w:rsidRPr="00A30C17">
              <w:t xml:space="preserve">: minor allele frequency  </w:t>
            </w:r>
            <w:proofErr w:type="spellStart"/>
            <w:r w:rsidRPr="00A30C17">
              <w:rPr>
                <w:vertAlign w:val="superscript"/>
              </w:rPr>
              <w:t>c</w:t>
            </w:r>
            <w:r w:rsidRPr="00A30C17">
              <w:rPr>
                <w:i/>
                <w:iCs/>
              </w:rPr>
              <w:t>P</w:t>
            </w:r>
            <w:proofErr w:type="spellEnd"/>
            <w:r w:rsidRPr="00A30C17">
              <w:t xml:space="preserve"> value obtained from Cochrane-Armitage trend test.  </w:t>
            </w:r>
            <w:proofErr w:type="spellStart"/>
            <w:proofErr w:type="gramStart"/>
            <w:r w:rsidRPr="00A30C17">
              <w:rPr>
                <w:vertAlign w:val="superscript"/>
              </w:rPr>
              <w:t>d</w:t>
            </w:r>
            <w:r w:rsidRPr="00A30C17">
              <w:t>Odds</w:t>
            </w:r>
            <w:proofErr w:type="spellEnd"/>
            <w:proofErr w:type="gramEnd"/>
            <w:r w:rsidRPr="00A30C17">
              <w:t xml:space="preserve"> ratios (OR) and confidence interval (CI) are calculated using the non-susceptible allele as reference. </w:t>
            </w:r>
            <w:proofErr w:type="spellStart"/>
            <w:proofErr w:type="gramStart"/>
            <w:r w:rsidRPr="00A30C17">
              <w:rPr>
                <w:vertAlign w:val="superscript"/>
              </w:rPr>
              <w:t>e</w:t>
            </w:r>
            <w:r w:rsidRPr="00A30C17">
              <w:t>The</w:t>
            </w:r>
            <w:proofErr w:type="spellEnd"/>
            <w:proofErr w:type="gramEnd"/>
            <w:r w:rsidRPr="00A30C17">
              <w:t xml:space="preserve"> </w:t>
            </w:r>
            <w:r w:rsidRPr="00A30C17">
              <w:rPr>
                <w:i/>
                <w:iCs/>
              </w:rPr>
              <w:t>P</w:t>
            </w:r>
            <w:r w:rsidRPr="00A30C17">
              <w:t xml:space="preserve"> values of heterogeneities (</w:t>
            </w:r>
            <w:proofErr w:type="spellStart"/>
            <w:r w:rsidRPr="00A30C17">
              <w:rPr>
                <w:i/>
                <w:iCs/>
              </w:rPr>
              <w:t>P</w:t>
            </w:r>
            <w:r w:rsidRPr="00A30C17">
              <w:rPr>
                <w:vertAlign w:val="subscript"/>
              </w:rPr>
              <w:t>het</w:t>
            </w:r>
            <w:proofErr w:type="spellEnd"/>
            <w:r w:rsidRPr="00A30C17">
              <w:t xml:space="preserve">) across three stages examined by using the </w:t>
            </w:r>
            <w:proofErr w:type="spellStart"/>
            <w:r w:rsidRPr="00A30C17">
              <w:t>Breslow</w:t>
            </w:r>
            <w:proofErr w:type="spellEnd"/>
            <w:r w:rsidRPr="00A30C17">
              <w:t xml:space="preserve">-Day test </w:t>
            </w:r>
            <w:proofErr w:type="spellStart"/>
            <w:r w:rsidRPr="00A30C17">
              <w:rPr>
                <w:vertAlign w:val="superscript"/>
              </w:rPr>
              <w:t>f</w:t>
            </w:r>
            <w:r w:rsidRPr="00A30C17">
              <w:t>Meta</w:t>
            </w:r>
            <w:proofErr w:type="spellEnd"/>
            <w:r w:rsidRPr="00A30C17">
              <w:t xml:space="preserve">-analysis: Odds ratio and </w:t>
            </w:r>
            <w:r w:rsidRPr="00A30C17">
              <w:rPr>
                <w:i/>
                <w:iCs/>
              </w:rPr>
              <w:t>P</w:t>
            </w:r>
            <w:r w:rsidRPr="00A30C17">
              <w:t xml:space="preserve"> value for independence test were calculated by Mantel-</w:t>
            </w:r>
            <w:proofErr w:type="spellStart"/>
            <w:r w:rsidRPr="00A30C17">
              <w:t>haenszel</w:t>
            </w:r>
            <w:proofErr w:type="spellEnd"/>
            <w:r w:rsidRPr="00A30C17">
              <w:t xml:space="preserve"> test in the Meta-analysis. </w:t>
            </w:r>
          </w:p>
        </w:tc>
      </w:tr>
    </w:tbl>
    <w:p w:rsidR="00A30C17" w:rsidRPr="00A30C17" w:rsidRDefault="00A30C17"/>
    <w:sectPr w:rsidR="00A30C17" w:rsidRPr="00A30C17" w:rsidSect="00E07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17" w:rsidRDefault="00A30C17" w:rsidP="00A30C17">
      <w:r>
        <w:separator/>
      </w:r>
    </w:p>
  </w:endnote>
  <w:endnote w:type="continuationSeparator" w:id="0">
    <w:p w:rsidR="00A30C17" w:rsidRDefault="00A30C17" w:rsidP="00A3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17" w:rsidRDefault="00A30C17" w:rsidP="00A30C17">
      <w:r>
        <w:separator/>
      </w:r>
    </w:p>
  </w:footnote>
  <w:footnote w:type="continuationSeparator" w:id="0">
    <w:p w:rsidR="00A30C17" w:rsidRDefault="00A30C17" w:rsidP="00A3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71F"/>
    <w:rsid w:val="00A202B3"/>
    <w:rsid w:val="00A30C17"/>
    <w:rsid w:val="00E07F7D"/>
    <w:rsid w:val="00E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1">
    <w:name w:val="oa1"/>
    <w:basedOn w:val="a"/>
    <w:rsid w:val="00E5271F"/>
    <w:pPr>
      <w:widowControl/>
      <w:pBdr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2">
    <w:name w:val="oa2"/>
    <w:basedOn w:val="a"/>
    <w:rsid w:val="00E5271F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3">
    <w:name w:val="oa3"/>
    <w:basedOn w:val="a"/>
    <w:rsid w:val="00E5271F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4">
    <w:name w:val="oa4"/>
    <w:basedOn w:val="a"/>
    <w:rsid w:val="00E5271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5">
    <w:name w:val="oa5"/>
    <w:basedOn w:val="a"/>
    <w:rsid w:val="00E5271F"/>
    <w:pPr>
      <w:widowControl/>
      <w:pBdr>
        <w:top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6">
    <w:name w:val="oa6"/>
    <w:basedOn w:val="a"/>
    <w:rsid w:val="00E5271F"/>
    <w:pPr>
      <w:widowControl/>
      <w:pBdr>
        <w:top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7">
    <w:name w:val="oa7"/>
    <w:basedOn w:val="a"/>
    <w:rsid w:val="00E5271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8">
    <w:name w:val="oa8"/>
    <w:basedOn w:val="a"/>
    <w:rsid w:val="00E5271F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9">
    <w:name w:val="oa9"/>
    <w:basedOn w:val="a"/>
    <w:rsid w:val="00E5271F"/>
    <w:pPr>
      <w:widowControl/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10">
    <w:name w:val="oa10"/>
    <w:basedOn w:val="a"/>
    <w:rsid w:val="00E5271F"/>
    <w:pPr>
      <w:widowControl/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a11">
    <w:name w:val="oa11"/>
    <w:basedOn w:val="a"/>
    <w:rsid w:val="00E5271F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527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30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C17"/>
  </w:style>
  <w:style w:type="paragraph" w:styleId="a5">
    <w:name w:val="footer"/>
    <w:basedOn w:val="a"/>
    <w:link w:val="a6"/>
    <w:uiPriority w:val="99"/>
    <w:semiHidden/>
    <w:unhideWhenUsed/>
    <w:rsid w:val="00A30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4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y-urabe</dc:creator>
  <cp:lastModifiedBy>y-urabe</cp:lastModifiedBy>
  <cp:revision>2</cp:revision>
  <dcterms:created xsi:type="dcterms:W3CDTF">2011-12-27T12:55:00Z</dcterms:created>
  <dcterms:modified xsi:type="dcterms:W3CDTF">2011-12-27T12:55:00Z</dcterms:modified>
</cp:coreProperties>
</file>