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0C4" w:rsidRPr="00E77765" w:rsidRDefault="00CC60C4" w:rsidP="00CC60C4">
      <w:pPr>
        <w:jc w:val="both"/>
        <w:rPr>
          <w:rFonts w:ascii="Times New Roman" w:hAnsi="Times New Roman" w:cs="Times New Roman"/>
          <w:sz w:val="20"/>
          <w:szCs w:val="20"/>
        </w:rPr>
      </w:pPr>
      <w:r w:rsidRPr="00E77765">
        <w:rPr>
          <w:rFonts w:ascii="Times New Roman" w:hAnsi="Times New Roman" w:cs="Times New Roman"/>
          <w:b/>
          <w:sz w:val="20"/>
          <w:szCs w:val="20"/>
        </w:rPr>
        <w:t>S9 Table.</w:t>
      </w:r>
      <w:r w:rsidRPr="00E77765">
        <w:rPr>
          <w:rFonts w:ascii="Times New Roman" w:hAnsi="Times New Roman" w:cs="Times New Roman"/>
          <w:sz w:val="20"/>
          <w:szCs w:val="20"/>
        </w:rPr>
        <w:t xml:space="preserve"> The levels of key risk factors at baseline and study end in the JADE-P and JADE groups (after propensity score-matching).</w:t>
      </w:r>
    </w:p>
    <w:p w:rsidR="00CC60C4" w:rsidRPr="00E77765" w:rsidRDefault="00CC60C4" w:rsidP="00CC60C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3"/>
        <w:gridCol w:w="1438"/>
        <w:gridCol w:w="1437"/>
        <w:gridCol w:w="1394"/>
        <w:gridCol w:w="1394"/>
      </w:tblGrid>
      <w:tr w:rsidR="00CC60C4" w:rsidRPr="00E77765" w:rsidTr="00F442AE">
        <w:trPr>
          <w:tblHeader/>
        </w:trPr>
        <w:tc>
          <w:tcPr>
            <w:tcW w:w="1859" w:type="pct"/>
            <w:vMerge w:val="restart"/>
          </w:tcPr>
          <w:p w:rsidR="00CC60C4" w:rsidRPr="00E77765" w:rsidRDefault="00CC60C4" w:rsidP="00F442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pct"/>
            <w:gridSpan w:val="2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b/>
                <w:sz w:val="20"/>
                <w:szCs w:val="20"/>
              </w:rPr>
              <w:t>JADE-P</w:t>
            </w:r>
          </w:p>
        </w:tc>
        <w:tc>
          <w:tcPr>
            <w:tcW w:w="1546" w:type="pct"/>
            <w:gridSpan w:val="2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JADE </w:t>
            </w:r>
          </w:p>
        </w:tc>
      </w:tr>
      <w:tr w:rsidR="00CC60C4" w:rsidRPr="00E77765" w:rsidTr="00F442AE">
        <w:tc>
          <w:tcPr>
            <w:tcW w:w="1859" w:type="pct"/>
            <w:vMerge/>
          </w:tcPr>
          <w:p w:rsidR="00CC60C4" w:rsidRPr="00E77765" w:rsidRDefault="00CC60C4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797" w:type="pct"/>
            <w:vAlign w:val="bottom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Study end</w:t>
            </w:r>
          </w:p>
        </w:tc>
        <w:tc>
          <w:tcPr>
            <w:tcW w:w="773" w:type="pct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773" w:type="pct"/>
            <w:vAlign w:val="bottom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Study end</w:t>
            </w:r>
          </w:p>
        </w:tc>
      </w:tr>
      <w:tr w:rsidR="00CC60C4" w:rsidRPr="00E77765" w:rsidTr="00F442AE">
        <w:tc>
          <w:tcPr>
            <w:tcW w:w="1859" w:type="pct"/>
          </w:tcPr>
          <w:p w:rsidR="00CC60C4" w:rsidRPr="00E77765" w:rsidRDefault="00CC60C4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Duration of follow-up</w:t>
            </w:r>
            <w:r w:rsidRPr="00E777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97" w:type="pct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97" w:type="pct"/>
            <w:vAlign w:val="bottom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MY" w:eastAsia="zh-CN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 (5.7-8.8)</w:t>
            </w:r>
          </w:p>
        </w:tc>
        <w:tc>
          <w:tcPr>
            <w:tcW w:w="773" w:type="pct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73" w:type="pct"/>
            <w:vAlign w:val="bottom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MY" w:eastAsia="zh-CN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 (4.2-6.8)</w:t>
            </w:r>
          </w:p>
        </w:tc>
      </w:tr>
      <w:tr w:rsidR="00CC60C4" w:rsidRPr="00E77765" w:rsidTr="00F442AE">
        <w:tc>
          <w:tcPr>
            <w:tcW w:w="1859" w:type="pct"/>
          </w:tcPr>
          <w:p w:rsidR="00CC60C4" w:rsidRPr="00E77765" w:rsidRDefault="00CC60C4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HbA</w:t>
            </w:r>
            <w:r w:rsidRPr="00E7776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1c</w:t>
            </w: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797" w:type="pct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7.36±1.59</w:t>
            </w:r>
          </w:p>
        </w:tc>
        <w:tc>
          <w:tcPr>
            <w:tcW w:w="797" w:type="pct"/>
            <w:vAlign w:val="bottom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MY" w:eastAsia="zh-CN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7.24±1.23</w:t>
            </w:r>
          </w:p>
        </w:tc>
        <w:tc>
          <w:tcPr>
            <w:tcW w:w="773" w:type="pct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7.37±1.43</w:t>
            </w:r>
          </w:p>
        </w:tc>
        <w:tc>
          <w:tcPr>
            <w:tcW w:w="773" w:type="pct"/>
            <w:vAlign w:val="bottom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MY" w:eastAsia="zh-CN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7.32±1.26</w:t>
            </w:r>
          </w:p>
        </w:tc>
      </w:tr>
      <w:tr w:rsidR="00CC60C4" w:rsidRPr="00E77765" w:rsidTr="00F442AE">
        <w:tc>
          <w:tcPr>
            <w:tcW w:w="1859" w:type="pct"/>
          </w:tcPr>
          <w:p w:rsidR="00CC60C4" w:rsidRPr="00E77765" w:rsidRDefault="00CC60C4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HbA</w:t>
            </w:r>
            <w:r w:rsidRPr="00E7776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1c</w:t>
            </w: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 (mmol/mol)</w:t>
            </w:r>
          </w:p>
        </w:tc>
        <w:tc>
          <w:tcPr>
            <w:tcW w:w="797" w:type="pct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57.0±17.4</w:t>
            </w:r>
          </w:p>
        </w:tc>
        <w:tc>
          <w:tcPr>
            <w:tcW w:w="797" w:type="pct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56.0±13.4</w:t>
            </w:r>
          </w:p>
        </w:tc>
        <w:tc>
          <w:tcPr>
            <w:tcW w:w="773" w:type="pct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57.0±15.6</w:t>
            </w:r>
          </w:p>
        </w:tc>
        <w:tc>
          <w:tcPr>
            <w:tcW w:w="773" w:type="pct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56.0±13.8</w:t>
            </w:r>
          </w:p>
        </w:tc>
      </w:tr>
      <w:tr w:rsidR="00CC60C4" w:rsidRPr="00E77765" w:rsidTr="00F442AE">
        <w:tc>
          <w:tcPr>
            <w:tcW w:w="1859" w:type="pct"/>
          </w:tcPr>
          <w:p w:rsidR="00CC60C4" w:rsidRPr="00E77765" w:rsidRDefault="00CC60C4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Triglyceride</w:t>
            </w:r>
            <w:r w:rsidRPr="00E777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 (mmol/L)</w:t>
            </w:r>
          </w:p>
        </w:tc>
        <w:tc>
          <w:tcPr>
            <w:tcW w:w="797" w:type="pct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 (1.0-1.9)</w:t>
            </w:r>
          </w:p>
        </w:tc>
        <w:tc>
          <w:tcPr>
            <w:tcW w:w="797" w:type="pct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MY" w:eastAsia="zh-CN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 (0.9-1.7)</w:t>
            </w:r>
          </w:p>
        </w:tc>
        <w:tc>
          <w:tcPr>
            <w:tcW w:w="773" w:type="pct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 (0.9-1.9)</w:t>
            </w:r>
          </w:p>
        </w:tc>
        <w:tc>
          <w:tcPr>
            <w:tcW w:w="773" w:type="pct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MY" w:eastAsia="zh-CN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 (0.9-1.9)</w:t>
            </w:r>
          </w:p>
        </w:tc>
      </w:tr>
      <w:tr w:rsidR="00CC60C4" w:rsidRPr="00E77765" w:rsidTr="00F442AE">
        <w:tc>
          <w:tcPr>
            <w:tcW w:w="1859" w:type="pct"/>
          </w:tcPr>
          <w:p w:rsidR="00CC60C4" w:rsidRPr="00E77765" w:rsidRDefault="00CC60C4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LDL-cholesterol (mmol/L)</w:t>
            </w:r>
          </w:p>
        </w:tc>
        <w:tc>
          <w:tcPr>
            <w:tcW w:w="797" w:type="pct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2.66±0.94</w:t>
            </w:r>
          </w:p>
        </w:tc>
        <w:tc>
          <w:tcPr>
            <w:tcW w:w="797" w:type="pct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MY" w:eastAsia="zh-CN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2.18±0.75</w:t>
            </w:r>
          </w:p>
        </w:tc>
        <w:tc>
          <w:tcPr>
            <w:tcW w:w="773" w:type="pct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2.63±0.83</w:t>
            </w:r>
          </w:p>
        </w:tc>
        <w:tc>
          <w:tcPr>
            <w:tcW w:w="773" w:type="pct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MY" w:eastAsia="zh-CN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2.13±0.71</w:t>
            </w:r>
          </w:p>
        </w:tc>
      </w:tr>
      <w:tr w:rsidR="00CC60C4" w:rsidRPr="00E77765" w:rsidTr="00F442AE">
        <w:tc>
          <w:tcPr>
            <w:tcW w:w="1859" w:type="pct"/>
          </w:tcPr>
          <w:p w:rsidR="00CC60C4" w:rsidRPr="00E77765" w:rsidRDefault="00CC60C4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Urinary </w:t>
            </w:r>
            <w:proofErr w:type="spellStart"/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albumin:creatinine</w:t>
            </w:r>
            <w:proofErr w:type="spellEnd"/>
            <w:r w:rsidRPr="00E77765">
              <w:rPr>
                <w:rFonts w:ascii="Times New Roman" w:hAnsi="Times New Roman" w:cs="Times New Roman"/>
                <w:sz w:val="20"/>
                <w:szCs w:val="20"/>
              </w:rPr>
              <w:t xml:space="preserve"> ratio</w:t>
            </w:r>
            <w:r w:rsidRPr="00E777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* </w:t>
            </w: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(mg/mmol)</w:t>
            </w:r>
          </w:p>
        </w:tc>
        <w:tc>
          <w:tcPr>
            <w:tcW w:w="797" w:type="pct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 (0.5-4.4)</w:t>
            </w:r>
          </w:p>
        </w:tc>
        <w:tc>
          <w:tcPr>
            <w:tcW w:w="797" w:type="pct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MY" w:eastAsia="zh-CN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 (0.6-5.7)</w:t>
            </w:r>
          </w:p>
        </w:tc>
        <w:tc>
          <w:tcPr>
            <w:tcW w:w="773" w:type="pct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 (0.5-5.3)</w:t>
            </w:r>
          </w:p>
        </w:tc>
        <w:tc>
          <w:tcPr>
            <w:tcW w:w="773" w:type="pct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MY" w:eastAsia="zh-CN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 (0.6-7.2)</w:t>
            </w:r>
          </w:p>
        </w:tc>
      </w:tr>
      <w:tr w:rsidR="00CC60C4" w:rsidRPr="00E77765" w:rsidTr="00F442AE">
        <w:tc>
          <w:tcPr>
            <w:tcW w:w="1859" w:type="pct"/>
          </w:tcPr>
          <w:p w:rsidR="00CC60C4" w:rsidRPr="00E77765" w:rsidRDefault="00CC60C4" w:rsidP="00F4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Estimated glomerular filtration rate (ml/min/1.73m</w:t>
            </w:r>
            <w:r w:rsidRPr="00E777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777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7" w:type="pct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82.3±20.3</w:t>
            </w:r>
          </w:p>
        </w:tc>
        <w:tc>
          <w:tcPr>
            <w:tcW w:w="797" w:type="pct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MY" w:eastAsia="zh-CN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74.4±26.0</w:t>
            </w:r>
          </w:p>
        </w:tc>
        <w:tc>
          <w:tcPr>
            <w:tcW w:w="773" w:type="pct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82.1±21</w:t>
            </w:r>
          </w:p>
        </w:tc>
        <w:tc>
          <w:tcPr>
            <w:tcW w:w="773" w:type="pct"/>
          </w:tcPr>
          <w:p w:rsidR="00CC60C4" w:rsidRPr="00E77765" w:rsidRDefault="00CC60C4" w:rsidP="00F44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MY" w:eastAsia="zh-CN"/>
              </w:rPr>
            </w:pPr>
            <w:r w:rsidRPr="00E77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74.4±25.1</w:t>
            </w:r>
          </w:p>
        </w:tc>
      </w:tr>
    </w:tbl>
    <w:p w:rsidR="00CC60C4" w:rsidRPr="00E77765" w:rsidRDefault="00CC60C4" w:rsidP="00CC60C4">
      <w:pPr>
        <w:jc w:val="both"/>
        <w:rPr>
          <w:rFonts w:ascii="Times New Roman" w:hAnsi="Times New Roman" w:cs="Times New Roman"/>
          <w:sz w:val="20"/>
          <w:szCs w:val="20"/>
        </w:rPr>
      </w:pPr>
      <w:r w:rsidRPr="00E77765">
        <w:rPr>
          <w:rFonts w:ascii="Times New Roman" w:hAnsi="Times New Roman" w:cs="Times New Roman"/>
          <w:sz w:val="20"/>
          <w:szCs w:val="20"/>
        </w:rPr>
        <w:t xml:space="preserve">Footnotes: Data are expressed in </w:t>
      </w:r>
      <w:proofErr w:type="spellStart"/>
      <w:r w:rsidRPr="00E77765">
        <w:rPr>
          <w:rFonts w:ascii="Times New Roman" w:hAnsi="Times New Roman" w:cs="Times New Roman"/>
          <w:sz w:val="20"/>
          <w:szCs w:val="20"/>
        </w:rPr>
        <w:t>mean±standard</w:t>
      </w:r>
      <w:proofErr w:type="spellEnd"/>
      <w:r w:rsidRPr="00E77765">
        <w:rPr>
          <w:rFonts w:ascii="Times New Roman" w:hAnsi="Times New Roman" w:cs="Times New Roman"/>
          <w:sz w:val="20"/>
          <w:szCs w:val="20"/>
        </w:rPr>
        <w:t xml:space="preserve"> deviation and median (interquartile range)</w:t>
      </w:r>
      <w:r w:rsidRPr="00E77765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E77765">
        <w:rPr>
          <w:rFonts w:ascii="Times New Roman" w:hAnsi="Times New Roman" w:cs="Times New Roman"/>
          <w:sz w:val="20"/>
          <w:szCs w:val="20"/>
        </w:rPr>
        <w:t xml:space="preserve">, as appropriate. Data at study end were based on the last available laboratory measurements captured in the territory-wide Electronic Medical Record system. To convert LDL-cholesterol to mg/dL, multiply by 38.67. To convert triglyceride to mg/dL, multiply by 88.57. </w:t>
      </w:r>
    </w:p>
    <w:p w:rsidR="004429B0" w:rsidRDefault="004429B0">
      <w:bookmarkStart w:id="0" w:name="_GoBack"/>
      <w:bookmarkEnd w:id="0"/>
    </w:p>
    <w:sectPr w:rsidR="00442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C4"/>
    <w:rsid w:val="004429B0"/>
    <w:rsid w:val="00C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E5D1C-A451-41F6-A250-ECB1BDEF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0C4"/>
    <w:pPr>
      <w:spacing w:after="0" w:line="240" w:lineRule="auto"/>
    </w:pPr>
    <w:rPr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0C4"/>
    <w:pPr>
      <w:spacing w:after="0" w:line="240" w:lineRule="auto"/>
    </w:pPr>
    <w:rPr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LEE LING</dc:creator>
  <cp:keywords/>
  <dc:description/>
  <cp:lastModifiedBy>LIM LEE LING</cp:lastModifiedBy>
  <cp:revision>1</cp:revision>
  <dcterms:created xsi:type="dcterms:W3CDTF">2020-08-14T08:05:00Z</dcterms:created>
  <dcterms:modified xsi:type="dcterms:W3CDTF">2020-08-14T08:05:00Z</dcterms:modified>
</cp:coreProperties>
</file>