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5A0F" w14:textId="5040F1A2" w:rsidR="008236B0" w:rsidRPr="008236B0" w:rsidRDefault="008236B0" w:rsidP="008236B0">
      <w:pPr>
        <w:widowControl/>
        <w:rPr>
          <w:rFonts w:ascii="Calibri" w:eastAsia="Arial Unicode MS" w:hAnsi="Calibri" w:cs="Times New Roman"/>
          <w:b/>
          <w:kern w:val="0"/>
          <w:szCs w:val="24"/>
        </w:rPr>
      </w:pPr>
      <w:r w:rsidRPr="008236B0">
        <w:rPr>
          <w:rFonts w:eastAsia="Arial Unicode MS"/>
          <w:b/>
          <w:kern w:val="0"/>
          <w:szCs w:val="24"/>
        </w:rPr>
        <w:t>S</w:t>
      </w:r>
      <w:r>
        <w:rPr>
          <w:rFonts w:eastAsia="Arial Unicode MS"/>
          <w:b/>
          <w:kern w:val="0"/>
          <w:szCs w:val="24"/>
        </w:rPr>
        <w:t>2</w:t>
      </w:r>
      <w:r w:rsidRPr="008236B0">
        <w:rPr>
          <w:rFonts w:ascii="Calibri" w:eastAsia="Arial Unicode MS" w:hAnsi="Calibri" w:cs="Times New Roman"/>
          <w:b/>
          <w:kern w:val="0"/>
          <w:szCs w:val="24"/>
        </w:rPr>
        <w:t xml:space="preserve"> Table. </w:t>
      </w:r>
      <w:r w:rsidRPr="008236B0">
        <w:rPr>
          <w:rFonts w:ascii="Calibri" w:eastAsia="Arial Unicode MS" w:hAnsi="Calibri" w:cs="Times New Roman"/>
          <w:kern w:val="0"/>
          <w:szCs w:val="24"/>
        </w:rPr>
        <w:t>Multivariate associations of the galectin-1 concentration (presented as continuous variable) and factors with all-cause mortality within 90 days among critically ill patients.</w:t>
      </w:r>
    </w:p>
    <w:tbl>
      <w:tblPr>
        <w:tblpPr w:leftFromText="180" w:rightFromText="180" w:vertAnchor="text" w:horzAnchor="margin" w:tblpXSpec="center" w:tblpY="82"/>
        <w:tblW w:w="5965" w:type="pct"/>
        <w:tblLook w:val="04A0" w:firstRow="1" w:lastRow="0" w:firstColumn="1" w:lastColumn="0" w:noHBand="0" w:noVBand="1"/>
      </w:tblPr>
      <w:tblGrid>
        <w:gridCol w:w="3767"/>
        <w:gridCol w:w="2467"/>
        <w:gridCol w:w="1012"/>
        <w:gridCol w:w="256"/>
        <w:gridCol w:w="3000"/>
        <w:gridCol w:w="1125"/>
      </w:tblGrid>
      <w:tr w:rsidR="008236B0" w:rsidRPr="008236B0" w14:paraId="2A7AD098" w14:textId="77777777" w:rsidTr="0050450E">
        <w:trPr>
          <w:trHeight w:val="363"/>
        </w:trPr>
        <w:tc>
          <w:tcPr>
            <w:tcW w:w="162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5A9BA2" w14:textId="77777777" w:rsidR="008236B0" w:rsidRPr="008236B0" w:rsidRDefault="008236B0" w:rsidP="008236B0">
            <w:pPr>
              <w:widowControl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3380" w:type="pct"/>
            <w:gridSpan w:val="5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51179CF" w14:textId="77777777" w:rsidR="008236B0" w:rsidRPr="008236B0" w:rsidRDefault="008236B0" w:rsidP="008236B0">
            <w:pPr>
              <w:widowControl/>
              <w:ind w:firstLineChars="450" w:firstLine="1081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b/>
                <w:szCs w:val="24"/>
              </w:rPr>
              <w:t>Univariate                       Multivariate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*</w:t>
            </w:r>
            <w:r w:rsidRPr="008236B0">
              <w:rPr>
                <w:rFonts w:ascii="Calibri" w:eastAsia="Arial Unicode MS" w:hAnsi="Calibri" w:cs="Times New Roman"/>
                <w:b/>
                <w:szCs w:val="24"/>
              </w:rPr>
              <w:t xml:space="preserve">                                      </w:t>
            </w:r>
          </w:p>
        </w:tc>
      </w:tr>
      <w:tr w:rsidR="008236B0" w:rsidRPr="008236B0" w14:paraId="663FF5E9" w14:textId="77777777" w:rsidTr="0050450E">
        <w:trPr>
          <w:trHeight w:val="363"/>
        </w:trPr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A11B41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b/>
                <w:szCs w:val="24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9F63C1" w14:textId="77777777" w:rsidR="008236B0" w:rsidRPr="008236B0" w:rsidRDefault="008236B0" w:rsidP="008236B0">
            <w:pPr>
              <w:ind w:firstLineChars="50" w:firstLine="120"/>
              <w:jc w:val="center"/>
              <w:rPr>
                <w:rFonts w:ascii="Calibri" w:eastAsia="Arial Unicode MS" w:hAnsi="Calibri" w:cs="Times New Roman"/>
                <w:b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b/>
                <w:szCs w:val="24"/>
              </w:rPr>
              <w:t>Crude HR (95% CI)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C2C678" w14:textId="77777777" w:rsidR="008236B0" w:rsidRPr="008236B0" w:rsidRDefault="008236B0" w:rsidP="008236B0">
            <w:pPr>
              <w:ind w:firstLineChars="100" w:firstLine="240"/>
              <w:jc w:val="center"/>
              <w:rPr>
                <w:rFonts w:ascii="Calibri" w:eastAsia="Arial Unicode MS" w:hAnsi="Calibri" w:cs="Times New Roman"/>
                <w:b/>
                <w:i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b/>
                <w:i/>
                <w:szCs w:val="24"/>
              </w:rPr>
              <w:t>P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44BE09" w14:textId="77777777" w:rsidR="008236B0" w:rsidRPr="008236B0" w:rsidRDefault="008236B0" w:rsidP="008236B0">
            <w:pPr>
              <w:jc w:val="center"/>
              <w:rPr>
                <w:rFonts w:ascii="Calibri" w:eastAsia="Arial Unicode MS" w:hAnsi="Calibri" w:cs="Times New Roman"/>
                <w:b/>
                <w:i/>
                <w:szCs w:val="24"/>
              </w:rPr>
            </w:pPr>
            <w:r w:rsidRPr="008236B0">
              <w:rPr>
                <w:rFonts w:ascii="Calibri" w:eastAsia="DengXian" w:hAnsi="Calibri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3D3A3" wp14:editId="666B10B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-6985</wp:posOffset>
                      </wp:positionV>
                      <wp:extent cx="142875" cy="9525"/>
                      <wp:effectExtent l="0" t="19050" r="47625" b="4762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804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-2.65pt;margin-top:-.55pt;width:1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" strokecolor="white" strokeweight="5pt"/>
                  </w:pict>
                </mc:Fallback>
              </mc:AlternateConten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3B5450" w14:textId="77777777" w:rsidR="008236B0" w:rsidRPr="008236B0" w:rsidRDefault="008236B0" w:rsidP="008236B0">
            <w:pPr>
              <w:ind w:firstLineChars="50" w:firstLine="120"/>
              <w:jc w:val="center"/>
              <w:rPr>
                <w:rFonts w:ascii="Calibri" w:eastAsia="Arial Unicode MS" w:hAnsi="Calibri" w:cs="Times New Roman"/>
                <w:b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b/>
                <w:szCs w:val="24"/>
              </w:rPr>
              <w:t>Adjusted HR (95% CI)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1E2A0B" w14:textId="77777777" w:rsidR="008236B0" w:rsidRPr="008236B0" w:rsidRDefault="008236B0" w:rsidP="008236B0">
            <w:pPr>
              <w:ind w:firstLineChars="100" w:firstLine="240"/>
              <w:jc w:val="center"/>
              <w:rPr>
                <w:rFonts w:ascii="Calibri" w:eastAsia="Arial Unicode MS" w:hAnsi="Calibri" w:cs="Times New Roman"/>
                <w:b/>
                <w:i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b/>
                <w:i/>
                <w:szCs w:val="24"/>
              </w:rPr>
              <w:t>P</w:t>
            </w:r>
          </w:p>
        </w:tc>
      </w:tr>
      <w:tr w:rsidR="008236B0" w:rsidRPr="008236B0" w14:paraId="58B6F3B2" w14:textId="77777777" w:rsidTr="0050450E">
        <w:trPr>
          <w:trHeight w:val="363"/>
        </w:trPr>
        <w:tc>
          <w:tcPr>
            <w:tcW w:w="1620" w:type="pct"/>
            <w:tcBorders>
              <w:top w:val="nil"/>
              <w:left w:val="nil"/>
              <w:right w:val="nil"/>
            </w:tcBorders>
            <w:vAlign w:val="center"/>
          </w:tcPr>
          <w:p w14:paraId="3EC9C6AF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b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Galectin-1 concentration (ng/mL)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DD7F5A6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 (1.00-1.01)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0F7C57C" w14:textId="77777777" w:rsidR="008236B0" w:rsidRPr="008236B0" w:rsidRDefault="008236B0" w:rsidP="008236B0">
            <w:pPr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 w:hint="eastAsia"/>
              </w:rPr>
              <w:t>&lt;</w:t>
            </w:r>
            <w:r w:rsidRPr="008236B0">
              <w:rPr>
                <w:rFonts w:ascii="Calibri" w:eastAsia="新細明體" w:hAnsi="Calibri" w:cs="Times New Roman"/>
              </w:rPr>
              <w:t>0.001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center"/>
          </w:tcPr>
          <w:p w14:paraId="7C5FFA43" w14:textId="77777777" w:rsidR="008236B0" w:rsidRPr="008236B0" w:rsidRDefault="008236B0" w:rsidP="008236B0">
            <w:pPr>
              <w:jc w:val="center"/>
              <w:rPr>
                <w:rFonts w:ascii="Calibri" w:eastAsia="DengXian" w:hAnsi="Calibri" w:cs="Times New Roman"/>
                <w:noProof/>
                <w:kern w:val="0"/>
                <w:sz w:val="22"/>
                <w:lang w:eastAsia="zh-CN"/>
              </w:rPr>
            </w:pPr>
          </w:p>
        </w:tc>
        <w:tc>
          <w:tcPr>
            <w:tcW w:w="1290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910E2D7" w14:textId="77777777" w:rsidR="008236B0" w:rsidRPr="008236B0" w:rsidRDefault="008236B0" w:rsidP="008236B0">
            <w:pPr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 (1.00-1.01)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7DB0761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.014</w:t>
            </w:r>
          </w:p>
        </w:tc>
      </w:tr>
      <w:tr w:rsidR="008236B0" w:rsidRPr="008236B0" w14:paraId="50018A47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7DAFDD3C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Age</w:t>
            </w:r>
          </w:p>
        </w:tc>
        <w:tc>
          <w:tcPr>
            <w:tcW w:w="1061" w:type="pct"/>
            <w:vAlign w:val="center"/>
          </w:tcPr>
          <w:p w14:paraId="5EC74460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1.00 (0.99-1.01)</w:t>
            </w:r>
          </w:p>
        </w:tc>
        <w:tc>
          <w:tcPr>
            <w:tcW w:w="435" w:type="pct"/>
            <w:vAlign w:val="center"/>
          </w:tcPr>
          <w:p w14:paraId="1D970133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0.488</w:t>
            </w:r>
          </w:p>
        </w:tc>
        <w:tc>
          <w:tcPr>
            <w:tcW w:w="110" w:type="pct"/>
            <w:vAlign w:val="center"/>
          </w:tcPr>
          <w:p w14:paraId="4515D1B3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711AA780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 (0.99-1.02)</w:t>
            </w:r>
          </w:p>
        </w:tc>
        <w:tc>
          <w:tcPr>
            <w:tcW w:w="484" w:type="pct"/>
            <w:vAlign w:val="center"/>
          </w:tcPr>
          <w:p w14:paraId="2698D3C9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.786</w:t>
            </w:r>
          </w:p>
        </w:tc>
      </w:tr>
      <w:tr w:rsidR="008236B0" w:rsidRPr="008236B0" w14:paraId="22C4A49A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6622B1D6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Male gender</w:t>
            </w:r>
          </w:p>
        </w:tc>
        <w:tc>
          <w:tcPr>
            <w:tcW w:w="1061" w:type="pct"/>
            <w:vAlign w:val="center"/>
          </w:tcPr>
          <w:p w14:paraId="5C0D5C19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1.29 (0.92-1.83)</w:t>
            </w:r>
          </w:p>
        </w:tc>
        <w:tc>
          <w:tcPr>
            <w:tcW w:w="435" w:type="pct"/>
            <w:vAlign w:val="center"/>
          </w:tcPr>
          <w:p w14:paraId="07930081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0.145</w:t>
            </w:r>
          </w:p>
        </w:tc>
        <w:tc>
          <w:tcPr>
            <w:tcW w:w="110" w:type="pct"/>
            <w:vAlign w:val="center"/>
          </w:tcPr>
          <w:p w14:paraId="2D870B0A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30BF3E9F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.31 (0.83-2.07)</w:t>
            </w:r>
          </w:p>
        </w:tc>
        <w:tc>
          <w:tcPr>
            <w:tcW w:w="484" w:type="pct"/>
            <w:vAlign w:val="center"/>
          </w:tcPr>
          <w:p w14:paraId="33D2383F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.249</w:t>
            </w:r>
          </w:p>
        </w:tc>
      </w:tr>
      <w:tr w:rsidR="008236B0" w:rsidRPr="008236B0" w14:paraId="6B127E7A" w14:textId="77777777" w:rsidTr="0050450E">
        <w:trPr>
          <w:trHeight w:val="363"/>
        </w:trPr>
        <w:tc>
          <w:tcPr>
            <w:tcW w:w="1620" w:type="pct"/>
          </w:tcPr>
          <w:p w14:paraId="6CEB6802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Body mass index</w:t>
            </w:r>
          </w:p>
        </w:tc>
        <w:tc>
          <w:tcPr>
            <w:tcW w:w="1061" w:type="pct"/>
            <w:vAlign w:val="center"/>
          </w:tcPr>
          <w:p w14:paraId="1E01FA2F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0.96 (0.93-1.00)</w:t>
            </w:r>
          </w:p>
        </w:tc>
        <w:tc>
          <w:tcPr>
            <w:tcW w:w="435" w:type="pct"/>
            <w:vAlign w:val="center"/>
          </w:tcPr>
          <w:p w14:paraId="4CE78E74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0.041</w:t>
            </w:r>
          </w:p>
        </w:tc>
        <w:tc>
          <w:tcPr>
            <w:tcW w:w="110" w:type="pct"/>
            <w:vAlign w:val="center"/>
          </w:tcPr>
          <w:p w14:paraId="6A50C683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37DC8FA5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.96 (0.92-1.01)</w:t>
            </w:r>
          </w:p>
        </w:tc>
        <w:tc>
          <w:tcPr>
            <w:tcW w:w="484" w:type="pct"/>
            <w:vAlign w:val="center"/>
          </w:tcPr>
          <w:p w14:paraId="237F70AE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.103</w:t>
            </w:r>
          </w:p>
        </w:tc>
      </w:tr>
      <w:tr w:rsidR="008236B0" w:rsidRPr="008236B0" w14:paraId="6C3EFFA8" w14:textId="77777777" w:rsidTr="0050450E">
        <w:trPr>
          <w:trHeight w:val="363"/>
        </w:trPr>
        <w:tc>
          <w:tcPr>
            <w:tcW w:w="1620" w:type="pct"/>
          </w:tcPr>
          <w:p w14:paraId="3F8B0229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Hypertension</w:t>
            </w:r>
          </w:p>
        </w:tc>
        <w:tc>
          <w:tcPr>
            <w:tcW w:w="1061" w:type="pct"/>
            <w:vAlign w:val="center"/>
          </w:tcPr>
          <w:p w14:paraId="52DEB1D7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0.63 (0.46-0.87)</w:t>
            </w:r>
          </w:p>
        </w:tc>
        <w:tc>
          <w:tcPr>
            <w:tcW w:w="435" w:type="pct"/>
            <w:vAlign w:val="center"/>
          </w:tcPr>
          <w:p w14:paraId="445961DE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0.005</w:t>
            </w:r>
          </w:p>
        </w:tc>
        <w:tc>
          <w:tcPr>
            <w:tcW w:w="110" w:type="pct"/>
            <w:vAlign w:val="center"/>
          </w:tcPr>
          <w:p w14:paraId="340C568B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5860E49E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.75 (0.48-1.18)</w:t>
            </w:r>
          </w:p>
        </w:tc>
        <w:tc>
          <w:tcPr>
            <w:tcW w:w="484" w:type="pct"/>
            <w:vAlign w:val="center"/>
          </w:tcPr>
          <w:p w14:paraId="182F5E3D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.211</w:t>
            </w:r>
          </w:p>
        </w:tc>
      </w:tr>
      <w:tr w:rsidR="008236B0" w:rsidRPr="008236B0" w14:paraId="4AEDC89B" w14:textId="77777777" w:rsidTr="0050450E">
        <w:trPr>
          <w:trHeight w:val="363"/>
        </w:trPr>
        <w:tc>
          <w:tcPr>
            <w:tcW w:w="1620" w:type="pct"/>
          </w:tcPr>
          <w:p w14:paraId="47E2C465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Diabetic mellitus</w:t>
            </w:r>
          </w:p>
        </w:tc>
        <w:tc>
          <w:tcPr>
            <w:tcW w:w="1061" w:type="pct"/>
            <w:vAlign w:val="center"/>
          </w:tcPr>
          <w:p w14:paraId="619533FA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0.74 (0.52-1.06)</w:t>
            </w:r>
          </w:p>
        </w:tc>
        <w:tc>
          <w:tcPr>
            <w:tcW w:w="435" w:type="pct"/>
            <w:vAlign w:val="center"/>
          </w:tcPr>
          <w:p w14:paraId="33F7DD21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0.105</w:t>
            </w:r>
          </w:p>
        </w:tc>
        <w:tc>
          <w:tcPr>
            <w:tcW w:w="110" w:type="pct"/>
            <w:vAlign w:val="center"/>
          </w:tcPr>
          <w:p w14:paraId="46EB16A0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43CFD795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178E58B5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31D0BA24" w14:textId="77777777" w:rsidTr="0050450E">
        <w:trPr>
          <w:trHeight w:val="363"/>
        </w:trPr>
        <w:tc>
          <w:tcPr>
            <w:tcW w:w="1620" w:type="pct"/>
          </w:tcPr>
          <w:p w14:paraId="1F35CCA2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Heart failure</w:t>
            </w:r>
          </w:p>
        </w:tc>
        <w:tc>
          <w:tcPr>
            <w:tcW w:w="1061" w:type="pct"/>
            <w:vAlign w:val="center"/>
          </w:tcPr>
          <w:p w14:paraId="6DF83306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0.82 (0.50-1.36)</w:t>
            </w:r>
          </w:p>
        </w:tc>
        <w:tc>
          <w:tcPr>
            <w:tcW w:w="435" w:type="pct"/>
            <w:vAlign w:val="center"/>
          </w:tcPr>
          <w:p w14:paraId="65CA54A7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0.436</w:t>
            </w:r>
          </w:p>
        </w:tc>
        <w:tc>
          <w:tcPr>
            <w:tcW w:w="110" w:type="pct"/>
            <w:vAlign w:val="center"/>
          </w:tcPr>
          <w:p w14:paraId="1E1E8507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13E228C6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.13 (0.57-2.56)</w:t>
            </w:r>
          </w:p>
        </w:tc>
        <w:tc>
          <w:tcPr>
            <w:tcW w:w="484" w:type="pct"/>
            <w:vAlign w:val="center"/>
          </w:tcPr>
          <w:p w14:paraId="6642F57D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.727</w:t>
            </w:r>
          </w:p>
        </w:tc>
      </w:tr>
      <w:tr w:rsidR="008236B0" w:rsidRPr="008236B0" w14:paraId="20BECED3" w14:textId="77777777" w:rsidTr="0050450E">
        <w:trPr>
          <w:trHeight w:val="363"/>
        </w:trPr>
        <w:tc>
          <w:tcPr>
            <w:tcW w:w="1620" w:type="pct"/>
          </w:tcPr>
          <w:p w14:paraId="2F81C8FA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Cirrhosis</w:t>
            </w:r>
          </w:p>
        </w:tc>
        <w:tc>
          <w:tcPr>
            <w:tcW w:w="1061" w:type="pct"/>
            <w:vAlign w:val="center"/>
          </w:tcPr>
          <w:p w14:paraId="2107E6C1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1.16 (0.61-2.21)</w:t>
            </w:r>
          </w:p>
        </w:tc>
        <w:tc>
          <w:tcPr>
            <w:tcW w:w="435" w:type="pct"/>
            <w:vAlign w:val="center"/>
          </w:tcPr>
          <w:p w14:paraId="472C3BFA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0.647</w:t>
            </w:r>
          </w:p>
        </w:tc>
        <w:tc>
          <w:tcPr>
            <w:tcW w:w="110" w:type="pct"/>
            <w:vAlign w:val="center"/>
          </w:tcPr>
          <w:p w14:paraId="0705B2B3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00A53E72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5E593E7B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61AFCFEF" w14:textId="77777777" w:rsidTr="0050450E">
        <w:trPr>
          <w:trHeight w:val="363"/>
        </w:trPr>
        <w:tc>
          <w:tcPr>
            <w:tcW w:w="1620" w:type="pct"/>
          </w:tcPr>
          <w:p w14:paraId="5311474C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Malignancy (solid tumor)</w:t>
            </w:r>
          </w:p>
        </w:tc>
        <w:tc>
          <w:tcPr>
            <w:tcW w:w="1061" w:type="pct"/>
            <w:vAlign w:val="center"/>
          </w:tcPr>
          <w:p w14:paraId="58E915DC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1.48 (1.08-2.03)</w:t>
            </w:r>
          </w:p>
        </w:tc>
        <w:tc>
          <w:tcPr>
            <w:tcW w:w="435" w:type="pct"/>
            <w:vAlign w:val="center"/>
          </w:tcPr>
          <w:p w14:paraId="00F87E4E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0.015</w:t>
            </w:r>
          </w:p>
        </w:tc>
        <w:tc>
          <w:tcPr>
            <w:tcW w:w="110" w:type="pct"/>
            <w:vAlign w:val="center"/>
          </w:tcPr>
          <w:p w14:paraId="58122098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4A795224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.51 (0.98-2.32)</w:t>
            </w:r>
          </w:p>
        </w:tc>
        <w:tc>
          <w:tcPr>
            <w:tcW w:w="484" w:type="pct"/>
            <w:vAlign w:val="center"/>
          </w:tcPr>
          <w:p w14:paraId="2B511C1A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.060</w:t>
            </w:r>
          </w:p>
        </w:tc>
      </w:tr>
      <w:tr w:rsidR="008236B0" w:rsidRPr="008236B0" w14:paraId="77207475" w14:textId="77777777" w:rsidTr="0050450E">
        <w:trPr>
          <w:trHeight w:val="363"/>
        </w:trPr>
        <w:tc>
          <w:tcPr>
            <w:tcW w:w="1620" w:type="pct"/>
          </w:tcPr>
          <w:p w14:paraId="30C8F066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proofErr w:type="spellStart"/>
            <w:r w:rsidRPr="008236B0">
              <w:rPr>
                <w:rFonts w:ascii="Calibri" w:eastAsia="新細明體" w:hAnsi="Calibri" w:cs="Times New Roman"/>
              </w:rPr>
              <w:t>ACEi</w:t>
            </w:r>
            <w:proofErr w:type="spellEnd"/>
            <w:r w:rsidRPr="008236B0">
              <w:rPr>
                <w:rFonts w:ascii="Calibri" w:eastAsia="新細明體" w:hAnsi="Calibri" w:cs="Times New Roman"/>
              </w:rPr>
              <w:t xml:space="preserve"> / ARB exposure</w:t>
            </w:r>
          </w:p>
        </w:tc>
        <w:tc>
          <w:tcPr>
            <w:tcW w:w="1061" w:type="pct"/>
            <w:vAlign w:val="center"/>
          </w:tcPr>
          <w:p w14:paraId="27BB341A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0.89 (0.60-1.32)</w:t>
            </w:r>
          </w:p>
        </w:tc>
        <w:tc>
          <w:tcPr>
            <w:tcW w:w="435" w:type="pct"/>
            <w:vAlign w:val="center"/>
          </w:tcPr>
          <w:p w14:paraId="53CA8204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0.575</w:t>
            </w:r>
          </w:p>
        </w:tc>
        <w:tc>
          <w:tcPr>
            <w:tcW w:w="110" w:type="pct"/>
            <w:vAlign w:val="center"/>
          </w:tcPr>
          <w:p w14:paraId="1AEAB29D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38D2FEBD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11835A00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1AF4C4ED" w14:textId="77777777" w:rsidTr="0050450E">
        <w:trPr>
          <w:trHeight w:val="363"/>
        </w:trPr>
        <w:tc>
          <w:tcPr>
            <w:tcW w:w="1620" w:type="pct"/>
          </w:tcPr>
          <w:p w14:paraId="3320B121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Diuretics exposure</w:t>
            </w:r>
          </w:p>
        </w:tc>
        <w:tc>
          <w:tcPr>
            <w:tcW w:w="1061" w:type="pct"/>
            <w:vAlign w:val="center"/>
          </w:tcPr>
          <w:p w14:paraId="083805F3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1.15 (0.76-1.74)</w:t>
            </w:r>
          </w:p>
        </w:tc>
        <w:tc>
          <w:tcPr>
            <w:tcW w:w="435" w:type="pct"/>
            <w:vAlign w:val="center"/>
          </w:tcPr>
          <w:p w14:paraId="6848EF47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0.509</w:t>
            </w:r>
          </w:p>
        </w:tc>
        <w:tc>
          <w:tcPr>
            <w:tcW w:w="110" w:type="pct"/>
            <w:vAlign w:val="center"/>
          </w:tcPr>
          <w:p w14:paraId="511052E1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7A4864A4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4649DECA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2A223E77" w14:textId="77777777" w:rsidTr="0050450E">
        <w:trPr>
          <w:trHeight w:val="363"/>
        </w:trPr>
        <w:tc>
          <w:tcPr>
            <w:tcW w:w="1620" w:type="pct"/>
          </w:tcPr>
          <w:p w14:paraId="3B336DE6" w14:textId="77777777" w:rsidR="008236B0" w:rsidRPr="008236B0" w:rsidRDefault="008236B0" w:rsidP="008236B0">
            <w:pPr>
              <w:widowControl/>
              <w:ind w:firstLineChars="50" w:firstLine="120"/>
              <w:rPr>
                <w:rFonts w:ascii="Calibri" w:eastAsia="Arial Unicode MS" w:hAnsi="Calibri" w:cs="Times New Roman"/>
                <w:b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 xml:space="preserve">Nephrotoxic </w:t>
            </w:r>
            <w:proofErr w:type="gramStart"/>
            <w:r w:rsidRPr="008236B0">
              <w:rPr>
                <w:rFonts w:ascii="Calibri" w:eastAsia="新細明體" w:hAnsi="Calibri" w:cs="Times New Roman"/>
              </w:rPr>
              <w:t>agents</w:t>
            </w:r>
            <w:proofErr w:type="gramEnd"/>
            <w:r w:rsidRPr="008236B0">
              <w:rPr>
                <w:rFonts w:ascii="Calibri" w:eastAsia="新細明體" w:hAnsi="Calibri" w:cs="Times New Roman"/>
              </w:rPr>
              <w:t xml:space="preserve"> exposure</w:t>
            </w:r>
          </w:p>
        </w:tc>
        <w:tc>
          <w:tcPr>
            <w:tcW w:w="1061" w:type="pct"/>
            <w:vAlign w:val="center"/>
          </w:tcPr>
          <w:p w14:paraId="3F0BD411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0.89 (0.50-1.61)</w:t>
            </w:r>
          </w:p>
        </w:tc>
        <w:tc>
          <w:tcPr>
            <w:tcW w:w="435" w:type="pct"/>
            <w:vAlign w:val="center"/>
          </w:tcPr>
          <w:p w14:paraId="43D35CE7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0.706</w:t>
            </w:r>
          </w:p>
        </w:tc>
        <w:tc>
          <w:tcPr>
            <w:tcW w:w="110" w:type="pct"/>
            <w:vAlign w:val="center"/>
          </w:tcPr>
          <w:p w14:paraId="1E9FE3C2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76F15B25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24429A32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6E029BE2" w14:textId="77777777" w:rsidTr="0050450E">
        <w:trPr>
          <w:trHeight w:val="363"/>
        </w:trPr>
        <w:tc>
          <w:tcPr>
            <w:tcW w:w="1620" w:type="pct"/>
            <w:shd w:val="clear" w:color="auto" w:fill="auto"/>
          </w:tcPr>
          <w:p w14:paraId="7EC32DF3" w14:textId="77777777" w:rsidR="008236B0" w:rsidRPr="008236B0" w:rsidRDefault="008236B0" w:rsidP="008236B0">
            <w:pPr>
              <w:widowControl/>
              <w:ind w:firstLineChars="50" w:firstLine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Etiologies of ICU admission</w:t>
            </w:r>
          </w:p>
        </w:tc>
        <w:tc>
          <w:tcPr>
            <w:tcW w:w="1061" w:type="pct"/>
            <w:vAlign w:val="center"/>
          </w:tcPr>
          <w:p w14:paraId="20C6B180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35" w:type="pct"/>
            <w:vAlign w:val="center"/>
          </w:tcPr>
          <w:p w14:paraId="01943679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10" w:type="pct"/>
            <w:vAlign w:val="center"/>
          </w:tcPr>
          <w:p w14:paraId="2DFA7190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7BE35E3A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5CA2D642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1B7C4CD3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75231B3E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Sepsis</w:t>
            </w:r>
          </w:p>
        </w:tc>
        <w:tc>
          <w:tcPr>
            <w:tcW w:w="1061" w:type="pct"/>
            <w:vAlign w:val="center"/>
          </w:tcPr>
          <w:p w14:paraId="5ED91A53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1.99 (1.10-3.58)</w:t>
            </w:r>
          </w:p>
        </w:tc>
        <w:tc>
          <w:tcPr>
            <w:tcW w:w="435" w:type="pct"/>
            <w:vAlign w:val="center"/>
          </w:tcPr>
          <w:p w14:paraId="49D3C548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0.023</w:t>
            </w:r>
          </w:p>
        </w:tc>
        <w:tc>
          <w:tcPr>
            <w:tcW w:w="110" w:type="pct"/>
            <w:vAlign w:val="center"/>
          </w:tcPr>
          <w:p w14:paraId="5C4440E8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417AF7BF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 xml:space="preserve"> </w:t>
            </w:r>
            <w:r w:rsidRPr="008236B0">
              <w:rPr>
                <w:rFonts w:ascii="Calibri" w:eastAsia="Arial Unicode MS" w:hAnsi="Calibri" w:cs="Times New Roman" w:hint="eastAsia"/>
                <w:szCs w:val="24"/>
              </w:rPr>
              <w:t>4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.69 (1.57-14.02)</w:t>
            </w:r>
          </w:p>
        </w:tc>
        <w:tc>
          <w:tcPr>
            <w:tcW w:w="484" w:type="pct"/>
            <w:vAlign w:val="center"/>
          </w:tcPr>
          <w:p w14:paraId="257F30B5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.006</w:t>
            </w:r>
          </w:p>
        </w:tc>
      </w:tr>
      <w:tr w:rsidR="008236B0" w:rsidRPr="008236B0" w14:paraId="0C3D1C39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0A9BEF8E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Pneumonia</w:t>
            </w:r>
          </w:p>
        </w:tc>
        <w:tc>
          <w:tcPr>
            <w:tcW w:w="1061" w:type="pct"/>
            <w:vAlign w:val="center"/>
          </w:tcPr>
          <w:p w14:paraId="1B41D735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0.91 (0.64-1.30)</w:t>
            </w:r>
          </w:p>
        </w:tc>
        <w:tc>
          <w:tcPr>
            <w:tcW w:w="435" w:type="pct"/>
            <w:vAlign w:val="center"/>
          </w:tcPr>
          <w:p w14:paraId="47E9BDB5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0.609</w:t>
            </w:r>
          </w:p>
        </w:tc>
        <w:tc>
          <w:tcPr>
            <w:tcW w:w="110" w:type="pct"/>
            <w:vAlign w:val="center"/>
          </w:tcPr>
          <w:p w14:paraId="6D1F9E18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7100FAA6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.49 (0.29-0.84)</w:t>
            </w:r>
          </w:p>
        </w:tc>
        <w:tc>
          <w:tcPr>
            <w:tcW w:w="484" w:type="pct"/>
            <w:vAlign w:val="center"/>
          </w:tcPr>
          <w:p w14:paraId="4D9C9CED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.009</w:t>
            </w:r>
          </w:p>
        </w:tc>
      </w:tr>
      <w:tr w:rsidR="008236B0" w:rsidRPr="008236B0" w14:paraId="23F3DF55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1F706E4E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Acute heart failure</w:t>
            </w:r>
          </w:p>
        </w:tc>
        <w:tc>
          <w:tcPr>
            <w:tcW w:w="1061" w:type="pct"/>
            <w:vAlign w:val="center"/>
          </w:tcPr>
          <w:p w14:paraId="374477A2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0.52 (0.17-1.63)</w:t>
            </w:r>
          </w:p>
        </w:tc>
        <w:tc>
          <w:tcPr>
            <w:tcW w:w="435" w:type="pct"/>
            <w:vAlign w:val="center"/>
          </w:tcPr>
          <w:p w14:paraId="58AE5EC3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0.264</w:t>
            </w:r>
          </w:p>
        </w:tc>
        <w:tc>
          <w:tcPr>
            <w:tcW w:w="110" w:type="pct"/>
            <w:vAlign w:val="center"/>
          </w:tcPr>
          <w:p w14:paraId="347641AC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37C22D5D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.38 (0.28-6.82)</w:t>
            </w:r>
          </w:p>
        </w:tc>
        <w:tc>
          <w:tcPr>
            <w:tcW w:w="484" w:type="pct"/>
            <w:vAlign w:val="center"/>
          </w:tcPr>
          <w:p w14:paraId="2F53265F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.694</w:t>
            </w:r>
          </w:p>
        </w:tc>
      </w:tr>
      <w:tr w:rsidR="008236B0" w:rsidRPr="008236B0" w14:paraId="024F6CF2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5DCB8B08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Massive bleeding</w:t>
            </w:r>
          </w:p>
        </w:tc>
        <w:tc>
          <w:tcPr>
            <w:tcW w:w="1061" w:type="pct"/>
            <w:vAlign w:val="center"/>
          </w:tcPr>
          <w:p w14:paraId="64A192DD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0.63 (0.31-1.27)</w:t>
            </w:r>
          </w:p>
        </w:tc>
        <w:tc>
          <w:tcPr>
            <w:tcW w:w="435" w:type="pct"/>
            <w:vAlign w:val="center"/>
          </w:tcPr>
          <w:p w14:paraId="258C03C6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0.195</w:t>
            </w:r>
          </w:p>
        </w:tc>
        <w:tc>
          <w:tcPr>
            <w:tcW w:w="110" w:type="pct"/>
            <w:vAlign w:val="center"/>
          </w:tcPr>
          <w:p w14:paraId="07799475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5E40F198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.40 (0.14-1.11)</w:t>
            </w:r>
          </w:p>
        </w:tc>
        <w:tc>
          <w:tcPr>
            <w:tcW w:w="484" w:type="pct"/>
            <w:vAlign w:val="center"/>
          </w:tcPr>
          <w:p w14:paraId="7C812AAF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.079</w:t>
            </w:r>
          </w:p>
        </w:tc>
      </w:tr>
      <w:tr w:rsidR="008236B0" w:rsidRPr="008236B0" w14:paraId="33FF0565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3C132CA6" w14:textId="77777777" w:rsidR="008236B0" w:rsidRPr="008236B0" w:rsidRDefault="008236B0" w:rsidP="008236B0">
            <w:pPr>
              <w:widowControl/>
              <w:ind w:leftChars="50"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Disease severity</w:t>
            </w:r>
          </w:p>
        </w:tc>
        <w:tc>
          <w:tcPr>
            <w:tcW w:w="1061" w:type="pct"/>
            <w:vAlign w:val="center"/>
          </w:tcPr>
          <w:p w14:paraId="46A4A0A4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35" w:type="pct"/>
            <w:vAlign w:val="center"/>
          </w:tcPr>
          <w:p w14:paraId="34B3973C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10" w:type="pct"/>
            <w:vAlign w:val="center"/>
          </w:tcPr>
          <w:p w14:paraId="68BDA299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4E13C490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6768A140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372A3195" w14:textId="77777777" w:rsidTr="0050450E">
        <w:trPr>
          <w:trHeight w:val="363"/>
        </w:trPr>
        <w:tc>
          <w:tcPr>
            <w:tcW w:w="1620" w:type="pct"/>
          </w:tcPr>
          <w:p w14:paraId="597EB1CE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APACHE II scores</w:t>
            </w:r>
          </w:p>
        </w:tc>
        <w:tc>
          <w:tcPr>
            <w:tcW w:w="1061" w:type="pct"/>
            <w:vAlign w:val="center"/>
          </w:tcPr>
          <w:p w14:paraId="6C781BED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1.06 (1.04-1.09)</w:t>
            </w:r>
          </w:p>
        </w:tc>
        <w:tc>
          <w:tcPr>
            <w:tcW w:w="435" w:type="pct"/>
            <w:vAlign w:val="center"/>
          </w:tcPr>
          <w:p w14:paraId="56D4491C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&lt;0.001</w:t>
            </w:r>
          </w:p>
        </w:tc>
        <w:tc>
          <w:tcPr>
            <w:tcW w:w="110" w:type="pct"/>
            <w:vAlign w:val="center"/>
          </w:tcPr>
          <w:p w14:paraId="2905944F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56176C12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.03 (0.99-1.06)</w:t>
            </w:r>
          </w:p>
        </w:tc>
        <w:tc>
          <w:tcPr>
            <w:tcW w:w="484" w:type="pct"/>
            <w:vAlign w:val="center"/>
          </w:tcPr>
          <w:p w14:paraId="5B99D26B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.112</w:t>
            </w:r>
          </w:p>
        </w:tc>
      </w:tr>
      <w:tr w:rsidR="008236B0" w:rsidRPr="008236B0" w14:paraId="742CEA56" w14:textId="77777777" w:rsidTr="0050450E">
        <w:trPr>
          <w:trHeight w:val="363"/>
        </w:trPr>
        <w:tc>
          <w:tcPr>
            <w:tcW w:w="1620" w:type="pct"/>
          </w:tcPr>
          <w:p w14:paraId="68BCEB61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SOFA scores</w:t>
            </w:r>
          </w:p>
        </w:tc>
        <w:tc>
          <w:tcPr>
            <w:tcW w:w="1061" w:type="pct"/>
            <w:vAlign w:val="center"/>
          </w:tcPr>
          <w:p w14:paraId="329EE8AB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1.16 (1.11-1.22)</w:t>
            </w:r>
          </w:p>
        </w:tc>
        <w:tc>
          <w:tcPr>
            <w:tcW w:w="435" w:type="pct"/>
            <w:vAlign w:val="center"/>
          </w:tcPr>
          <w:p w14:paraId="1550A856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&lt;0.001</w:t>
            </w:r>
          </w:p>
        </w:tc>
        <w:tc>
          <w:tcPr>
            <w:tcW w:w="110" w:type="pct"/>
            <w:vAlign w:val="center"/>
          </w:tcPr>
          <w:p w14:paraId="5256B845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63E7FE6A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.09 (1.01-1.18)</w:t>
            </w:r>
          </w:p>
        </w:tc>
        <w:tc>
          <w:tcPr>
            <w:tcW w:w="484" w:type="pct"/>
            <w:vAlign w:val="center"/>
          </w:tcPr>
          <w:p w14:paraId="5618100F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.036</w:t>
            </w:r>
          </w:p>
        </w:tc>
      </w:tr>
      <w:tr w:rsidR="008236B0" w:rsidRPr="008236B0" w14:paraId="5E1972C4" w14:textId="77777777" w:rsidTr="0050450E">
        <w:trPr>
          <w:trHeight w:val="363"/>
        </w:trPr>
        <w:tc>
          <w:tcPr>
            <w:tcW w:w="1620" w:type="pct"/>
          </w:tcPr>
          <w:p w14:paraId="7A26CBBE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Ventilator usage</w:t>
            </w:r>
          </w:p>
        </w:tc>
        <w:tc>
          <w:tcPr>
            <w:tcW w:w="1061" w:type="pct"/>
            <w:vAlign w:val="center"/>
          </w:tcPr>
          <w:p w14:paraId="3D632472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2.23 (1.09-4.53)</w:t>
            </w:r>
          </w:p>
        </w:tc>
        <w:tc>
          <w:tcPr>
            <w:tcW w:w="435" w:type="pct"/>
            <w:vAlign w:val="center"/>
          </w:tcPr>
          <w:p w14:paraId="1F79FCF6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0.028</w:t>
            </w:r>
          </w:p>
        </w:tc>
        <w:tc>
          <w:tcPr>
            <w:tcW w:w="110" w:type="pct"/>
            <w:vAlign w:val="center"/>
          </w:tcPr>
          <w:p w14:paraId="25EA3127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246C5918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.03 (0.40-2.70)</w:t>
            </w:r>
          </w:p>
        </w:tc>
        <w:tc>
          <w:tcPr>
            <w:tcW w:w="484" w:type="pct"/>
            <w:vAlign w:val="center"/>
          </w:tcPr>
          <w:p w14:paraId="6BA2C2D6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.950</w:t>
            </w:r>
          </w:p>
        </w:tc>
      </w:tr>
      <w:tr w:rsidR="008236B0" w:rsidRPr="008236B0" w14:paraId="174CDA58" w14:textId="77777777" w:rsidTr="0050450E">
        <w:trPr>
          <w:trHeight w:val="363"/>
        </w:trPr>
        <w:tc>
          <w:tcPr>
            <w:tcW w:w="1620" w:type="pct"/>
          </w:tcPr>
          <w:p w14:paraId="1154C01E" w14:textId="77777777" w:rsidR="008236B0" w:rsidRPr="008236B0" w:rsidRDefault="008236B0" w:rsidP="008236B0">
            <w:pPr>
              <w:widowControl/>
              <w:ind w:leftChars="50" w:left="120" w:firstLineChars="50" w:firstLine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Inotrope/ vasopressor usage</w:t>
            </w:r>
          </w:p>
        </w:tc>
        <w:tc>
          <w:tcPr>
            <w:tcW w:w="1061" w:type="pct"/>
            <w:vAlign w:val="center"/>
          </w:tcPr>
          <w:p w14:paraId="7B5AFC7C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1.69 (1.23-2.33)</w:t>
            </w:r>
          </w:p>
        </w:tc>
        <w:tc>
          <w:tcPr>
            <w:tcW w:w="435" w:type="pct"/>
            <w:vAlign w:val="center"/>
          </w:tcPr>
          <w:p w14:paraId="6C952D16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0.001</w:t>
            </w:r>
          </w:p>
        </w:tc>
        <w:tc>
          <w:tcPr>
            <w:tcW w:w="110" w:type="pct"/>
            <w:vAlign w:val="center"/>
          </w:tcPr>
          <w:p w14:paraId="31EF9191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4EB022CB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.12 (0.68-1.85)</w:t>
            </w:r>
          </w:p>
        </w:tc>
        <w:tc>
          <w:tcPr>
            <w:tcW w:w="484" w:type="pct"/>
            <w:vAlign w:val="center"/>
          </w:tcPr>
          <w:p w14:paraId="5633ABA6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.655</w:t>
            </w:r>
          </w:p>
        </w:tc>
      </w:tr>
      <w:tr w:rsidR="008236B0" w:rsidRPr="008236B0" w14:paraId="34A85EC9" w14:textId="77777777" w:rsidTr="0050450E">
        <w:trPr>
          <w:trHeight w:val="363"/>
        </w:trPr>
        <w:tc>
          <w:tcPr>
            <w:tcW w:w="1620" w:type="pct"/>
          </w:tcPr>
          <w:p w14:paraId="7A61300A" w14:textId="77777777" w:rsidR="008236B0" w:rsidRPr="008236B0" w:rsidRDefault="008236B0" w:rsidP="008236B0">
            <w:pPr>
              <w:widowControl/>
              <w:ind w:firstLineChars="100" w:firstLine="24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Mean arterial pressure (mmHg)</w:t>
            </w:r>
          </w:p>
        </w:tc>
        <w:tc>
          <w:tcPr>
            <w:tcW w:w="1061" w:type="pct"/>
            <w:vAlign w:val="center"/>
          </w:tcPr>
          <w:p w14:paraId="7D7CFA2C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0.98 (0.97-0.99)</w:t>
            </w:r>
          </w:p>
        </w:tc>
        <w:tc>
          <w:tcPr>
            <w:tcW w:w="435" w:type="pct"/>
            <w:vAlign w:val="center"/>
          </w:tcPr>
          <w:p w14:paraId="3E9664A4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0.002</w:t>
            </w:r>
          </w:p>
        </w:tc>
        <w:tc>
          <w:tcPr>
            <w:tcW w:w="110" w:type="pct"/>
            <w:vAlign w:val="center"/>
          </w:tcPr>
          <w:p w14:paraId="2A9FCEC2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4FCBA086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 (0.98-1.01)</w:t>
            </w:r>
          </w:p>
        </w:tc>
        <w:tc>
          <w:tcPr>
            <w:tcW w:w="484" w:type="pct"/>
            <w:vAlign w:val="center"/>
          </w:tcPr>
          <w:p w14:paraId="51DA096C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.503</w:t>
            </w:r>
          </w:p>
        </w:tc>
      </w:tr>
      <w:tr w:rsidR="008236B0" w:rsidRPr="008236B0" w14:paraId="6F8AE798" w14:textId="77777777" w:rsidTr="0050450E">
        <w:trPr>
          <w:trHeight w:val="363"/>
        </w:trPr>
        <w:tc>
          <w:tcPr>
            <w:tcW w:w="1620" w:type="pct"/>
            <w:vAlign w:val="center"/>
          </w:tcPr>
          <w:p w14:paraId="3A4903BC" w14:textId="77777777" w:rsidR="008236B0" w:rsidRPr="008236B0" w:rsidRDefault="008236B0" w:rsidP="008236B0">
            <w:pPr>
              <w:widowControl/>
              <w:ind w:firstLineChars="100" w:firstLine="24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Septic shock</w:t>
            </w:r>
          </w:p>
        </w:tc>
        <w:tc>
          <w:tcPr>
            <w:tcW w:w="1061" w:type="pct"/>
            <w:vAlign w:val="center"/>
          </w:tcPr>
          <w:p w14:paraId="1E211E69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1.95 (1.39-2.75)</w:t>
            </w:r>
          </w:p>
        </w:tc>
        <w:tc>
          <w:tcPr>
            <w:tcW w:w="435" w:type="pct"/>
            <w:vAlign w:val="center"/>
          </w:tcPr>
          <w:p w14:paraId="7798772F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&lt;0.001</w:t>
            </w:r>
          </w:p>
        </w:tc>
        <w:tc>
          <w:tcPr>
            <w:tcW w:w="110" w:type="pct"/>
            <w:vAlign w:val="center"/>
          </w:tcPr>
          <w:p w14:paraId="2F214C7F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2B8078E2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.64 (0.35-1.17)</w:t>
            </w:r>
          </w:p>
        </w:tc>
        <w:tc>
          <w:tcPr>
            <w:tcW w:w="484" w:type="pct"/>
            <w:vAlign w:val="center"/>
          </w:tcPr>
          <w:p w14:paraId="7AAA3A48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.148</w:t>
            </w:r>
          </w:p>
        </w:tc>
      </w:tr>
      <w:tr w:rsidR="008236B0" w:rsidRPr="008236B0" w14:paraId="02FEFA7C" w14:textId="77777777" w:rsidTr="0050450E">
        <w:trPr>
          <w:trHeight w:val="363"/>
        </w:trPr>
        <w:tc>
          <w:tcPr>
            <w:tcW w:w="1620" w:type="pct"/>
          </w:tcPr>
          <w:p w14:paraId="3EE3B3C5" w14:textId="77777777" w:rsidR="008236B0" w:rsidRPr="008236B0" w:rsidRDefault="008236B0" w:rsidP="008236B0">
            <w:pPr>
              <w:widowControl/>
              <w:ind w:leftChars="50" w:left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White blood cells (K)</w:t>
            </w:r>
          </w:p>
        </w:tc>
        <w:tc>
          <w:tcPr>
            <w:tcW w:w="1061" w:type="pct"/>
            <w:vAlign w:val="center"/>
          </w:tcPr>
          <w:p w14:paraId="407468A7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0.99 (0.97-1.01)</w:t>
            </w:r>
          </w:p>
        </w:tc>
        <w:tc>
          <w:tcPr>
            <w:tcW w:w="435" w:type="pct"/>
            <w:vAlign w:val="center"/>
          </w:tcPr>
          <w:p w14:paraId="4CDFB193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0.183</w:t>
            </w:r>
          </w:p>
        </w:tc>
        <w:tc>
          <w:tcPr>
            <w:tcW w:w="110" w:type="pct"/>
            <w:vAlign w:val="center"/>
          </w:tcPr>
          <w:p w14:paraId="3CAC2540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331DE1B7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1C68FEAD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36B6F0D1" w14:textId="77777777" w:rsidTr="0050450E">
        <w:trPr>
          <w:trHeight w:val="363"/>
        </w:trPr>
        <w:tc>
          <w:tcPr>
            <w:tcW w:w="1620" w:type="pct"/>
          </w:tcPr>
          <w:p w14:paraId="0ADC0D0A" w14:textId="77777777" w:rsidR="008236B0" w:rsidRPr="008236B0" w:rsidRDefault="008236B0" w:rsidP="008236B0">
            <w:pPr>
              <w:widowControl/>
              <w:ind w:leftChars="50" w:left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Hemoglobin (mg/dL)</w:t>
            </w:r>
          </w:p>
        </w:tc>
        <w:tc>
          <w:tcPr>
            <w:tcW w:w="1061" w:type="pct"/>
            <w:vAlign w:val="center"/>
          </w:tcPr>
          <w:p w14:paraId="36ECEFA2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0.86 (0.79-0.93)</w:t>
            </w:r>
          </w:p>
        </w:tc>
        <w:tc>
          <w:tcPr>
            <w:tcW w:w="435" w:type="pct"/>
            <w:vAlign w:val="center"/>
          </w:tcPr>
          <w:p w14:paraId="3AB1F0C2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&lt;0.001</w:t>
            </w:r>
          </w:p>
        </w:tc>
        <w:tc>
          <w:tcPr>
            <w:tcW w:w="110" w:type="pct"/>
            <w:vAlign w:val="center"/>
          </w:tcPr>
          <w:p w14:paraId="576E2801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38018CEC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.92 (0.83-1.03)</w:t>
            </w:r>
          </w:p>
        </w:tc>
        <w:tc>
          <w:tcPr>
            <w:tcW w:w="484" w:type="pct"/>
            <w:vAlign w:val="center"/>
          </w:tcPr>
          <w:p w14:paraId="2E881C6B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.134</w:t>
            </w:r>
          </w:p>
        </w:tc>
      </w:tr>
      <w:tr w:rsidR="008236B0" w:rsidRPr="008236B0" w14:paraId="58100804" w14:textId="77777777" w:rsidTr="0050450E">
        <w:trPr>
          <w:trHeight w:val="363"/>
        </w:trPr>
        <w:tc>
          <w:tcPr>
            <w:tcW w:w="1620" w:type="pct"/>
          </w:tcPr>
          <w:p w14:paraId="23414164" w14:textId="77777777" w:rsidR="008236B0" w:rsidRPr="008236B0" w:rsidRDefault="008236B0" w:rsidP="008236B0">
            <w:pPr>
              <w:widowControl/>
              <w:ind w:firstLineChars="50" w:firstLine="120"/>
              <w:rPr>
                <w:rFonts w:ascii="Calibri" w:eastAsia="Arial Unicode MS" w:hAnsi="Calibri" w:cs="Times New Roman"/>
                <w:b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Initial eGFR (mL/min /1.73m2)</w:t>
            </w:r>
          </w:p>
        </w:tc>
        <w:tc>
          <w:tcPr>
            <w:tcW w:w="1061" w:type="pct"/>
            <w:vAlign w:val="center"/>
          </w:tcPr>
          <w:p w14:paraId="19766D66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1.00 (0.99-1.00)</w:t>
            </w:r>
          </w:p>
        </w:tc>
        <w:tc>
          <w:tcPr>
            <w:tcW w:w="435" w:type="pct"/>
            <w:vAlign w:val="center"/>
          </w:tcPr>
          <w:p w14:paraId="6F4FB440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0.121</w:t>
            </w:r>
          </w:p>
        </w:tc>
        <w:tc>
          <w:tcPr>
            <w:tcW w:w="110" w:type="pct"/>
            <w:vAlign w:val="center"/>
          </w:tcPr>
          <w:p w14:paraId="5FC2DF0E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51F3F3D4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.00 (1.00-1.01)</w:t>
            </w:r>
          </w:p>
        </w:tc>
        <w:tc>
          <w:tcPr>
            <w:tcW w:w="484" w:type="pct"/>
            <w:vAlign w:val="center"/>
          </w:tcPr>
          <w:p w14:paraId="16DDDA65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.464</w:t>
            </w:r>
          </w:p>
        </w:tc>
      </w:tr>
      <w:tr w:rsidR="008236B0" w:rsidRPr="008236B0" w14:paraId="6EC79B74" w14:textId="77777777" w:rsidTr="0050450E">
        <w:trPr>
          <w:trHeight w:val="363"/>
        </w:trPr>
        <w:tc>
          <w:tcPr>
            <w:tcW w:w="1620" w:type="pct"/>
          </w:tcPr>
          <w:p w14:paraId="7A106B8C" w14:textId="77777777" w:rsidR="008236B0" w:rsidRPr="008236B0" w:rsidRDefault="008236B0" w:rsidP="008236B0">
            <w:pPr>
              <w:widowControl/>
              <w:ind w:left="120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新細明體" w:hAnsi="Calibri" w:cs="Times New Roman"/>
              </w:rPr>
              <w:t>Proteinuria</w:t>
            </w:r>
          </w:p>
        </w:tc>
        <w:tc>
          <w:tcPr>
            <w:tcW w:w="1061" w:type="pct"/>
            <w:vAlign w:val="center"/>
          </w:tcPr>
          <w:p w14:paraId="62FAE1DA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1.15 (0.80-1.65)</w:t>
            </w:r>
          </w:p>
        </w:tc>
        <w:tc>
          <w:tcPr>
            <w:tcW w:w="435" w:type="pct"/>
            <w:vAlign w:val="center"/>
          </w:tcPr>
          <w:p w14:paraId="4DB75C1C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0.466</w:t>
            </w:r>
          </w:p>
        </w:tc>
        <w:tc>
          <w:tcPr>
            <w:tcW w:w="110" w:type="pct"/>
            <w:vAlign w:val="center"/>
          </w:tcPr>
          <w:p w14:paraId="0E5577F0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7FE6FCE3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5B809456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38F07130" w14:textId="77777777" w:rsidTr="0050450E">
        <w:trPr>
          <w:trHeight w:val="363"/>
        </w:trPr>
        <w:tc>
          <w:tcPr>
            <w:tcW w:w="1620" w:type="pct"/>
          </w:tcPr>
          <w:p w14:paraId="7AA3A6C6" w14:textId="77777777" w:rsidR="008236B0" w:rsidRPr="008236B0" w:rsidRDefault="008236B0" w:rsidP="008236B0">
            <w:pPr>
              <w:widowControl/>
              <w:ind w:left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Glucose (mg/dL)</w:t>
            </w:r>
          </w:p>
        </w:tc>
        <w:tc>
          <w:tcPr>
            <w:tcW w:w="1061" w:type="pct"/>
            <w:vAlign w:val="center"/>
          </w:tcPr>
          <w:p w14:paraId="73420106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1.00 (1.00-1.00)</w:t>
            </w:r>
          </w:p>
        </w:tc>
        <w:tc>
          <w:tcPr>
            <w:tcW w:w="435" w:type="pct"/>
            <w:vAlign w:val="center"/>
          </w:tcPr>
          <w:p w14:paraId="462E3033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0.270</w:t>
            </w:r>
          </w:p>
        </w:tc>
        <w:tc>
          <w:tcPr>
            <w:tcW w:w="110" w:type="pct"/>
            <w:vAlign w:val="center"/>
          </w:tcPr>
          <w:p w14:paraId="74FBF974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vAlign w:val="center"/>
          </w:tcPr>
          <w:p w14:paraId="019DCAAF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1D7552A6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</w:p>
        </w:tc>
      </w:tr>
      <w:tr w:rsidR="008236B0" w:rsidRPr="008236B0" w14:paraId="03E53344" w14:textId="77777777" w:rsidTr="0050450E">
        <w:trPr>
          <w:trHeight w:val="363"/>
        </w:trPr>
        <w:tc>
          <w:tcPr>
            <w:tcW w:w="162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331D55" w14:textId="77777777" w:rsidR="008236B0" w:rsidRPr="008236B0" w:rsidRDefault="008236B0" w:rsidP="008236B0">
            <w:pPr>
              <w:widowControl/>
              <w:ind w:left="120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Lactate, 0h (mg/dL)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F934C5" w14:textId="77777777" w:rsidR="008236B0" w:rsidRPr="008236B0" w:rsidRDefault="008236B0" w:rsidP="008236B0">
            <w:pPr>
              <w:widowControl/>
              <w:ind w:firstLineChars="50" w:firstLine="120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/>
                <w:szCs w:val="24"/>
              </w:rPr>
              <w:t>1.01 (1.01-1.02)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6A632C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  <w:r w:rsidRPr="008236B0">
              <w:rPr>
                <w:rFonts w:ascii="Calibri" w:eastAsia="新細明體" w:hAnsi="Calibri" w:cs="Times New Roman"/>
              </w:rPr>
              <w:t>&lt;0.001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6B87B1" w14:textId="77777777" w:rsidR="008236B0" w:rsidRPr="008236B0" w:rsidRDefault="008236B0" w:rsidP="008236B0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41830B" w14:textId="77777777" w:rsidR="008236B0" w:rsidRPr="008236B0" w:rsidRDefault="008236B0" w:rsidP="008236B0">
            <w:pPr>
              <w:widowControl/>
              <w:ind w:firstLineChars="55" w:firstLine="132"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1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.01 (1.00-1.02)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4D0C80" w14:textId="77777777" w:rsidR="008236B0" w:rsidRPr="008236B0" w:rsidRDefault="008236B0" w:rsidP="008236B0">
            <w:pPr>
              <w:widowControl/>
              <w:jc w:val="center"/>
              <w:rPr>
                <w:rFonts w:ascii="Calibri" w:eastAsia="Arial Unicode MS" w:hAnsi="Calibri" w:cs="Times New Roman"/>
                <w:szCs w:val="24"/>
              </w:rPr>
            </w:pPr>
            <w:r w:rsidRPr="008236B0">
              <w:rPr>
                <w:rFonts w:ascii="Calibri" w:eastAsia="Arial Unicode MS" w:hAnsi="Calibri" w:cs="Times New Roman" w:hint="eastAsia"/>
                <w:szCs w:val="24"/>
              </w:rPr>
              <w:t>0</w:t>
            </w:r>
            <w:r w:rsidRPr="008236B0">
              <w:rPr>
                <w:rFonts w:ascii="Calibri" w:eastAsia="Arial Unicode MS" w:hAnsi="Calibri" w:cs="Times New Roman"/>
                <w:szCs w:val="24"/>
              </w:rPr>
              <w:t>.030</w:t>
            </w:r>
          </w:p>
        </w:tc>
      </w:tr>
    </w:tbl>
    <w:p w14:paraId="29C4AD4C" w14:textId="703A476A" w:rsidR="008236B0" w:rsidRPr="008236B0" w:rsidRDefault="008236B0" w:rsidP="008236B0">
      <w:pPr>
        <w:widowControl/>
        <w:rPr>
          <w:rFonts w:ascii="Calibri" w:eastAsia="Arial Unicode MS" w:hAnsi="Calibri" w:cs="Times New Roman" w:hint="eastAsia"/>
          <w:szCs w:val="24"/>
        </w:rPr>
      </w:pPr>
      <w:r w:rsidRPr="008236B0">
        <w:rPr>
          <w:rFonts w:ascii="Calibri" w:eastAsia="Arial Unicode MS" w:hAnsi="Calibri" w:cs="Times New Roman"/>
          <w:szCs w:val="24"/>
        </w:rPr>
        <w:t xml:space="preserve">*Adjusted for age, gender, heart failure, malignancy, etiologies of ICU admission (including sepsis, pneumonia, acute heart failure, massive bleeding), initial eGFR, and variables with </w:t>
      </w:r>
      <w:r w:rsidRPr="008236B0">
        <w:rPr>
          <w:rFonts w:ascii="Calibri" w:eastAsia="Arial Unicode MS" w:hAnsi="Calibri" w:cs="Times New Roman"/>
          <w:i/>
          <w:szCs w:val="24"/>
        </w:rPr>
        <w:t xml:space="preserve">p </w:t>
      </w:r>
      <w:r w:rsidRPr="008236B0">
        <w:rPr>
          <w:rFonts w:ascii="Calibri" w:eastAsia="Arial Unicode MS" w:hAnsi="Calibri" w:cs="Times New Roman"/>
          <w:szCs w:val="24"/>
        </w:rPr>
        <w:t>&lt; 0.05 in the univariate analysis.</w:t>
      </w:r>
    </w:p>
    <w:sectPr w:rsidR="008236B0" w:rsidRPr="008236B0" w:rsidSect="00B61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Hei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B0"/>
    <w:rsid w:val="008236B0"/>
    <w:rsid w:val="00B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9FF"/>
  <w15:chartTrackingRefBased/>
  <w15:docId w15:val="{75BD4294-2852-4CB1-BFF8-B6695974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B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236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36B0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8236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36B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236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36B0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36B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236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2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23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Reuy</dc:creator>
  <cp:keywords/>
  <dc:description/>
  <cp:lastModifiedBy>Ray Reuy</cp:lastModifiedBy>
  <cp:revision>1</cp:revision>
  <dcterms:created xsi:type="dcterms:W3CDTF">2021-08-19T12:57:00Z</dcterms:created>
  <dcterms:modified xsi:type="dcterms:W3CDTF">2021-08-19T12:58:00Z</dcterms:modified>
</cp:coreProperties>
</file>