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A7" w:rsidRPr="003D785F" w:rsidRDefault="00214BA7" w:rsidP="00214BA7">
      <w:pPr>
        <w:autoSpaceDE w:val="0"/>
        <w:autoSpaceDN w:val="0"/>
        <w:adjustRightInd w:val="0"/>
        <w:spacing w:after="0" w:line="480" w:lineRule="auto"/>
        <w:jc w:val="both"/>
        <w:rPr>
          <w:rFonts w:cs="PvgvwnWarnockPro-Regular"/>
          <w:lang w:val="en-US"/>
        </w:rPr>
      </w:pPr>
      <w:r w:rsidRPr="003D785F">
        <w:rPr>
          <w:b/>
          <w:color w:val="000000" w:themeColor="text1"/>
          <w:lang w:val="en-US"/>
        </w:rPr>
        <w:t>S4</w:t>
      </w:r>
      <w:r>
        <w:rPr>
          <w:b/>
          <w:color w:val="000000" w:themeColor="text1"/>
          <w:lang w:val="en-US"/>
        </w:rPr>
        <w:t xml:space="preserve"> Fig</w:t>
      </w:r>
      <w:r w:rsidRPr="003D785F">
        <w:rPr>
          <w:b/>
          <w:color w:val="000000" w:themeColor="text1"/>
          <w:lang w:val="en-US"/>
        </w:rPr>
        <w:t xml:space="preserve">. Type I IFNs enhance expression of extracellular markers associated with T cell activation. </w:t>
      </w:r>
      <w:r w:rsidRPr="003D785F">
        <w:rPr>
          <w:color w:val="000000" w:themeColor="text1"/>
          <w:lang w:val="en-US"/>
        </w:rPr>
        <w:t>Total CD4</w:t>
      </w:r>
      <w:r w:rsidRPr="003D785F">
        <w:rPr>
          <w:color w:val="000000" w:themeColor="text1"/>
          <w:vertAlign w:val="superscript"/>
          <w:lang w:val="en-US"/>
        </w:rPr>
        <w:t>+</w:t>
      </w:r>
      <w:r w:rsidRPr="003D785F">
        <w:rPr>
          <w:color w:val="000000" w:themeColor="text1"/>
          <w:lang w:val="en-US"/>
        </w:rPr>
        <w:t xml:space="preserve"> T cells isolated from PBMC obtained from HIV-uninfected individuals (</w:t>
      </w:r>
      <w:r w:rsidRPr="003D785F">
        <w:rPr>
          <w:b/>
          <w:color w:val="000000" w:themeColor="text1"/>
          <w:lang w:val="en-US"/>
        </w:rPr>
        <w:t>A-D</w:t>
      </w:r>
      <w:r w:rsidRPr="003D785F">
        <w:rPr>
          <w:color w:val="000000" w:themeColor="text1"/>
          <w:lang w:val="en-US"/>
        </w:rPr>
        <w:t>) or total CD4</w:t>
      </w:r>
      <w:r w:rsidRPr="003D785F">
        <w:rPr>
          <w:color w:val="000000" w:themeColor="text1"/>
          <w:vertAlign w:val="superscript"/>
          <w:lang w:val="en-US"/>
        </w:rPr>
        <w:t>+</w:t>
      </w:r>
      <w:r w:rsidRPr="003D785F">
        <w:rPr>
          <w:color w:val="000000" w:themeColor="text1"/>
          <w:lang w:val="en-US"/>
        </w:rPr>
        <w:t xml:space="preserve"> T cells isolated from PBMC obtained from HV-infected individuals on ART (</w:t>
      </w:r>
      <w:r w:rsidRPr="003D785F">
        <w:rPr>
          <w:b/>
          <w:color w:val="000000" w:themeColor="text1"/>
          <w:lang w:val="en-US"/>
        </w:rPr>
        <w:t>E-H</w:t>
      </w:r>
      <w:r w:rsidRPr="003D785F">
        <w:rPr>
          <w:color w:val="000000" w:themeColor="text1"/>
          <w:lang w:val="en-US"/>
        </w:rPr>
        <w:t>) were left untreated or treated with increasing (0-10,000 U/mL) concentrations of indicated IFN or with anti-CD3/CD28+IL-7+IL-2 (</w:t>
      </w:r>
      <w:r w:rsidRPr="003D785F">
        <w:rPr>
          <w:rFonts w:cstheme="minorHAnsi"/>
          <w:color w:val="000000" w:themeColor="text1"/>
          <w:lang w:val="en-US"/>
        </w:rPr>
        <w:t>TCR-activated</w:t>
      </w:r>
      <w:r w:rsidRPr="003D785F">
        <w:rPr>
          <w:color w:val="000000" w:themeColor="text1"/>
          <w:lang w:val="en-US"/>
        </w:rPr>
        <w:t xml:space="preserve">). After 3 days, the cells were harvested and the percentage of </w:t>
      </w:r>
      <w:r w:rsidRPr="003D785F">
        <w:rPr>
          <w:b/>
          <w:color w:val="000000" w:themeColor="text1"/>
          <w:lang w:val="en-US"/>
        </w:rPr>
        <w:t>A</w:t>
      </w:r>
      <w:proofErr w:type="gramStart"/>
      <w:r w:rsidRPr="003D785F">
        <w:rPr>
          <w:b/>
          <w:color w:val="000000" w:themeColor="text1"/>
          <w:lang w:val="en-US"/>
        </w:rPr>
        <w:t>,E</w:t>
      </w:r>
      <w:proofErr w:type="gramEnd"/>
      <w:r w:rsidRPr="003D785F">
        <w:rPr>
          <w:b/>
          <w:color w:val="000000" w:themeColor="text1"/>
          <w:lang w:val="en-US"/>
        </w:rPr>
        <w:t>:</w:t>
      </w:r>
      <w:r w:rsidRPr="003D785F">
        <w:rPr>
          <w:color w:val="000000" w:themeColor="text1"/>
          <w:lang w:val="en-US"/>
        </w:rPr>
        <w:t xml:space="preserve"> viable cells and cells expressing </w:t>
      </w:r>
      <w:r w:rsidRPr="003D785F">
        <w:rPr>
          <w:b/>
          <w:color w:val="000000" w:themeColor="text1"/>
          <w:lang w:val="en-US"/>
        </w:rPr>
        <w:t>B,F:</w:t>
      </w:r>
      <w:r w:rsidRPr="003D785F">
        <w:rPr>
          <w:color w:val="000000" w:themeColor="text1"/>
          <w:lang w:val="en-US"/>
        </w:rPr>
        <w:t xml:space="preserve"> CD69, </w:t>
      </w:r>
      <w:r w:rsidRPr="003D785F">
        <w:rPr>
          <w:b/>
          <w:color w:val="000000" w:themeColor="text1"/>
          <w:lang w:val="en-US"/>
        </w:rPr>
        <w:t xml:space="preserve">CG: </w:t>
      </w:r>
      <w:r w:rsidRPr="003D785F">
        <w:rPr>
          <w:color w:val="000000" w:themeColor="text1"/>
          <w:lang w:val="en-US"/>
        </w:rPr>
        <w:t xml:space="preserve">CD25 and </w:t>
      </w:r>
      <w:r w:rsidRPr="003D785F">
        <w:rPr>
          <w:b/>
          <w:color w:val="000000" w:themeColor="text1"/>
          <w:lang w:val="en-US"/>
        </w:rPr>
        <w:t>D,H:</w:t>
      </w:r>
      <w:r w:rsidRPr="003D785F">
        <w:rPr>
          <w:color w:val="000000" w:themeColor="text1"/>
          <w:lang w:val="en-US"/>
        </w:rPr>
        <w:t xml:space="preserve"> HLA-DR were measured using flow cytometry. </w:t>
      </w:r>
      <w:r w:rsidRPr="003D785F">
        <w:rPr>
          <w:bCs/>
          <w:szCs w:val="24"/>
          <w:lang w:val="en-US"/>
        </w:rPr>
        <w:t xml:space="preserve">Columns represent mean values </w:t>
      </w:r>
      <w:r w:rsidRPr="003D785F">
        <w:rPr>
          <w:szCs w:val="24"/>
          <w:lang w:val="en-US"/>
        </w:rPr>
        <w:t xml:space="preserve">and dots represent individual donors (n=3-4 donors). </w:t>
      </w:r>
      <w:r w:rsidRPr="003D785F">
        <w:rPr>
          <w:color w:val="000000" w:themeColor="text1"/>
          <w:lang w:val="en-US"/>
        </w:rPr>
        <w:t>*p&lt;0.05</w:t>
      </w:r>
      <w:r w:rsidRPr="003D785F">
        <w:rPr>
          <w:szCs w:val="24"/>
          <w:lang w:val="en-US"/>
        </w:rPr>
        <w:t xml:space="preserve">, </w:t>
      </w:r>
      <w:r w:rsidRPr="003D785F">
        <w:rPr>
          <w:color w:val="000000" w:themeColor="text1"/>
          <w:lang w:val="en-US"/>
        </w:rPr>
        <w:t xml:space="preserve">**p&lt;0.01 </w:t>
      </w:r>
      <w:r w:rsidRPr="003D785F">
        <w:rPr>
          <w:szCs w:val="24"/>
          <w:lang w:val="en-US"/>
        </w:rPr>
        <w:t xml:space="preserve">as determined by </w:t>
      </w:r>
      <w:r w:rsidRPr="003D785F">
        <w:rPr>
          <w:rFonts w:cs="PvgvwnWarnockPro-Regular"/>
          <w:lang w:val="en-US"/>
        </w:rPr>
        <w:t>paired student T test.</w:t>
      </w:r>
    </w:p>
    <w:p w:rsidR="00483F63" w:rsidRPr="0015780D" w:rsidRDefault="00483F63">
      <w:pPr>
        <w:rPr>
          <w:lang w:val="en-US"/>
        </w:rPr>
      </w:pPr>
      <w:bookmarkStart w:id="0" w:name="_GoBack"/>
      <w:bookmarkEnd w:id="0"/>
    </w:p>
    <w:sectPr w:rsidR="00483F63" w:rsidRPr="0015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vgvwn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D"/>
    <w:rsid w:val="0015780D"/>
    <w:rsid w:val="00214BA7"/>
    <w:rsid w:val="00311307"/>
    <w:rsid w:val="00483F63"/>
    <w:rsid w:val="00B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AB03-577A-4330-9A45-5A11536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Marije van der Sluis</dc:creator>
  <cp:keywords/>
  <dc:description/>
  <cp:lastModifiedBy>Renée Marije van der Sluis</cp:lastModifiedBy>
  <cp:revision>2</cp:revision>
  <dcterms:created xsi:type="dcterms:W3CDTF">2019-10-26T14:31:00Z</dcterms:created>
  <dcterms:modified xsi:type="dcterms:W3CDTF">2019-10-26T14:31:00Z</dcterms:modified>
</cp:coreProperties>
</file>