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8E7D" w14:textId="74D066A9" w:rsidR="00BE51D2" w:rsidRDefault="00BE51D2" w:rsidP="00BE51D2">
      <w:pPr>
        <w:pStyle w:val="Heading1"/>
        <w:rPr>
          <w:sz w:val="28"/>
          <w:szCs w:val="28"/>
          <w:lang w:val="en-GB"/>
        </w:rPr>
      </w:pPr>
      <w:bookmarkStart w:id="0" w:name="_Hlk62120213"/>
      <w:r w:rsidRPr="00254A15">
        <w:rPr>
          <w:sz w:val="28"/>
          <w:szCs w:val="28"/>
          <w:lang w:val="en-GB"/>
        </w:rPr>
        <w:t>S4</w:t>
      </w:r>
      <w:r w:rsidR="00884F70">
        <w:rPr>
          <w:sz w:val="28"/>
          <w:szCs w:val="28"/>
          <w:lang w:val="en-GB"/>
        </w:rPr>
        <w:t xml:space="preserve"> File</w:t>
      </w:r>
      <w:r w:rsidRPr="00254A15">
        <w:rPr>
          <w:sz w:val="28"/>
          <w:szCs w:val="28"/>
          <w:lang w:val="en-GB"/>
        </w:rPr>
        <w:t xml:space="preserve">: Additional </w:t>
      </w:r>
      <w:r>
        <w:rPr>
          <w:sz w:val="28"/>
          <w:szCs w:val="28"/>
          <w:lang w:val="en-GB"/>
        </w:rPr>
        <w:t>D</w:t>
      </w:r>
      <w:r w:rsidRPr="00254A15">
        <w:rPr>
          <w:sz w:val="28"/>
          <w:szCs w:val="28"/>
          <w:lang w:val="en-GB"/>
        </w:rPr>
        <w:t xml:space="preserve">iagnostics for the </w:t>
      </w:r>
      <w:r>
        <w:rPr>
          <w:sz w:val="28"/>
          <w:szCs w:val="28"/>
          <w:lang w:val="en-GB"/>
        </w:rPr>
        <w:t>L</w:t>
      </w:r>
      <w:r w:rsidRPr="00254A15">
        <w:rPr>
          <w:sz w:val="28"/>
          <w:szCs w:val="28"/>
          <w:lang w:val="en-GB"/>
        </w:rPr>
        <w:t xml:space="preserve">ogit </w:t>
      </w:r>
      <w:r>
        <w:rPr>
          <w:sz w:val="28"/>
          <w:szCs w:val="28"/>
          <w:lang w:val="en-GB"/>
        </w:rPr>
        <w:t>M</w:t>
      </w:r>
      <w:r w:rsidRPr="00254A15">
        <w:rPr>
          <w:sz w:val="28"/>
          <w:szCs w:val="28"/>
          <w:lang w:val="en-GB"/>
        </w:rPr>
        <w:t>odels</w:t>
      </w:r>
    </w:p>
    <w:p w14:paraId="21294075" w14:textId="77777777" w:rsidR="0046666B" w:rsidRPr="0046666B" w:rsidRDefault="0046666B" w:rsidP="0046666B">
      <w:pPr>
        <w:rPr>
          <w:lang w:val="en-GB"/>
        </w:rPr>
      </w:pPr>
    </w:p>
    <w:p w14:paraId="469A8353" w14:textId="77777777" w:rsidR="00BE51D2" w:rsidRDefault="00BE51D2" w:rsidP="00BE51D2">
      <w:pPr>
        <w:spacing w:line="276" w:lineRule="auto"/>
        <w:jc w:val="both"/>
        <w:rPr>
          <w:lang w:val="en-US"/>
        </w:rPr>
      </w:pPr>
      <w:r>
        <w:rPr>
          <w:lang w:val="en-US"/>
        </w:rPr>
        <w:t>Table 4 in the main body of the paper provides initial model diagnostics in the form of the Pseudo-</w:t>
      </w: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oMath>
      <w:r>
        <w:rPr>
          <w:lang w:val="en-US"/>
        </w:rPr>
        <w:t xml:space="preserve">, which is also referred to as McFadden’s </w:t>
      </w: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oMath>
      <w:r>
        <w:rPr>
          <w:lang w:val="en-US"/>
        </w:rPr>
        <w:t>. This section provides two additional diagnostic tools. The first is the linktest. The idea behind the linktest is as follows: The logit estimations assume that the logarithm of the odds ratio is a linear function of the covariates and all relevant predictors are observed. If our model is correctly specified, we should not be able to detect any other predictors except by chance. To test this assumption, we calculate the linear combination of the covariates and the associated coefficient estimates of the respective logit estimation. We then regress our outcome on this linear prediction and this linear prediction squared. If correctly specified, we would expect that first, the linear combination of the coefficient estimates and the covariates should be significantly related to the outcome, and second, the squared term of this linear combination should not be significantly related to the respective outcome.</w:t>
      </w:r>
    </w:p>
    <w:p w14:paraId="30ACD12F" w14:textId="2EEC120C" w:rsidR="00BE51D2" w:rsidRDefault="00BE51D2" w:rsidP="00BE51D2">
      <w:pPr>
        <w:spacing w:line="276" w:lineRule="auto"/>
        <w:jc w:val="both"/>
        <w:rPr>
          <w:lang w:val="en-US"/>
        </w:rPr>
      </w:pPr>
      <w:r>
        <w:rPr>
          <w:lang w:val="en-US"/>
        </w:rPr>
        <w:t>The results are summarized in S4.1</w:t>
      </w:r>
      <w:r w:rsidR="00A75341">
        <w:rPr>
          <w:lang w:val="en-US"/>
        </w:rPr>
        <w:t xml:space="preserve"> Table</w:t>
      </w:r>
      <w:r>
        <w:rPr>
          <w:lang w:val="en-US"/>
        </w:rPr>
        <w:t>. The results indicate that our model is correctly specified. The linear combination of the covariates and the coefficient estimates are significantly associated with our outcomes in both panels, but their squares are not.</w:t>
      </w:r>
    </w:p>
    <w:p w14:paraId="70E1BD3B" w14:textId="1A5D3D7E" w:rsidR="00BE51D2" w:rsidRPr="006E7CA7" w:rsidRDefault="00BE51D2" w:rsidP="00BE51D2">
      <w:pPr>
        <w:spacing w:line="360" w:lineRule="auto"/>
        <w:jc w:val="both"/>
        <w:rPr>
          <w:lang w:val="en-US"/>
        </w:rPr>
      </w:pPr>
      <w:r>
        <w:rPr>
          <w:b/>
          <w:lang w:val="en-US"/>
        </w:rPr>
        <w:t>S</w:t>
      </w:r>
      <w:r w:rsidRPr="00E156DB">
        <w:rPr>
          <w:b/>
          <w:lang w:val="en-US"/>
        </w:rPr>
        <w:t>4.1</w:t>
      </w:r>
      <w:r w:rsidR="00B87CC6">
        <w:rPr>
          <w:b/>
          <w:lang w:val="en-US"/>
        </w:rPr>
        <w:t xml:space="preserve"> </w:t>
      </w:r>
      <w:r w:rsidR="00B87CC6" w:rsidRPr="00E156DB">
        <w:rPr>
          <w:b/>
          <w:lang w:val="en-US"/>
        </w:rPr>
        <w:t>Table</w:t>
      </w:r>
      <w:r w:rsidRPr="00E156DB">
        <w:rPr>
          <w:b/>
          <w:lang w:val="en-US"/>
        </w:rPr>
        <w:t>:</w:t>
      </w:r>
      <w:r>
        <w:rPr>
          <w:lang w:val="en-US"/>
        </w:rPr>
        <w:t xml:space="preserve"> Linktest for the logit models for willingness to get vaccinated and attitudes towards obligatory vaccinations. </w:t>
      </w:r>
    </w:p>
    <w:tbl>
      <w:tblPr>
        <w:tblW w:w="0" w:type="auto"/>
        <w:tblLook w:val="04A0" w:firstRow="1" w:lastRow="0" w:firstColumn="1" w:lastColumn="0" w:noHBand="0" w:noVBand="1"/>
      </w:tblPr>
      <w:tblGrid>
        <w:gridCol w:w="2830"/>
        <w:gridCol w:w="851"/>
        <w:gridCol w:w="850"/>
        <w:gridCol w:w="1199"/>
        <w:gridCol w:w="1276"/>
        <w:gridCol w:w="1060"/>
        <w:gridCol w:w="860"/>
      </w:tblGrid>
      <w:tr w:rsidR="00BE51D2" w:rsidRPr="002C61C1" w14:paraId="61577B37" w14:textId="77777777" w:rsidTr="00CE5820">
        <w:trPr>
          <w:trHeight w:val="300"/>
        </w:trPr>
        <w:tc>
          <w:tcPr>
            <w:tcW w:w="2830" w:type="dxa"/>
            <w:tcBorders>
              <w:bottom w:val="single" w:sz="4" w:space="0" w:color="auto"/>
            </w:tcBorders>
            <w:hideMark/>
          </w:tcPr>
          <w:p w14:paraId="1F257360" w14:textId="77777777" w:rsidR="00BE51D2" w:rsidRPr="00706F72" w:rsidRDefault="00BE51D2" w:rsidP="00CE5820">
            <w:pPr>
              <w:rPr>
                <w:rFonts w:cstheme="minorHAnsi"/>
                <w:sz w:val="20"/>
                <w:szCs w:val="20"/>
                <w:lang w:val="en-GB"/>
              </w:rPr>
            </w:pPr>
            <w:r w:rsidRPr="00706F72">
              <w:rPr>
                <w:rFonts w:cstheme="minorHAnsi"/>
                <w:sz w:val="20"/>
                <w:szCs w:val="20"/>
                <w:lang w:val="en-GB"/>
              </w:rPr>
              <w:t>Explanatory variable</w:t>
            </w:r>
          </w:p>
        </w:tc>
        <w:tc>
          <w:tcPr>
            <w:tcW w:w="851" w:type="dxa"/>
            <w:tcBorders>
              <w:bottom w:val="single" w:sz="4" w:space="0" w:color="auto"/>
            </w:tcBorders>
            <w:noWrap/>
            <w:hideMark/>
          </w:tcPr>
          <w:p w14:paraId="7AC7F5ED" w14:textId="77777777" w:rsidR="00BE51D2" w:rsidRPr="00706F72" w:rsidRDefault="00BE51D2" w:rsidP="00CE5820">
            <w:pPr>
              <w:jc w:val="center"/>
              <w:rPr>
                <w:rFonts w:cstheme="minorHAnsi"/>
                <w:sz w:val="20"/>
                <w:szCs w:val="20"/>
                <w:lang w:val="en-GB"/>
              </w:rPr>
            </w:pPr>
            <w:r w:rsidRPr="00706F72">
              <w:rPr>
                <w:rFonts w:cstheme="minorHAnsi"/>
                <w:sz w:val="20"/>
                <w:szCs w:val="20"/>
                <w:lang w:val="en-GB"/>
              </w:rPr>
              <w:t>Effect</w:t>
            </w:r>
          </w:p>
        </w:tc>
        <w:tc>
          <w:tcPr>
            <w:tcW w:w="850" w:type="dxa"/>
            <w:tcBorders>
              <w:bottom w:val="single" w:sz="4" w:space="0" w:color="auto"/>
            </w:tcBorders>
            <w:noWrap/>
            <w:hideMark/>
          </w:tcPr>
          <w:p w14:paraId="64326CF2" w14:textId="77777777" w:rsidR="00BE51D2" w:rsidRPr="00706F72" w:rsidRDefault="00BE51D2" w:rsidP="00CE5820">
            <w:pPr>
              <w:jc w:val="center"/>
              <w:rPr>
                <w:rFonts w:cstheme="minorHAnsi"/>
                <w:sz w:val="20"/>
                <w:szCs w:val="20"/>
                <w:lang w:val="en-GB"/>
              </w:rPr>
            </w:pPr>
            <w:r w:rsidRPr="00706F72">
              <w:rPr>
                <w:rFonts w:cstheme="minorHAnsi"/>
                <w:sz w:val="20"/>
                <w:szCs w:val="20"/>
                <w:lang w:val="en-GB"/>
              </w:rPr>
              <w:t>S.</w:t>
            </w:r>
            <w:r>
              <w:rPr>
                <w:rFonts w:cstheme="minorHAnsi"/>
                <w:sz w:val="20"/>
                <w:szCs w:val="20"/>
                <w:lang w:val="en-GB"/>
              </w:rPr>
              <w:t>E</w:t>
            </w:r>
            <w:r w:rsidRPr="00706F72">
              <w:rPr>
                <w:rFonts w:cstheme="minorHAnsi"/>
                <w:sz w:val="20"/>
                <w:szCs w:val="20"/>
                <w:lang w:val="en-GB"/>
              </w:rPr>
              <w:t>.</w:t>
            </w:r>
          </w:p>
        </w:tc>
        <w:tc>
          <w:tcPr>
            <w:tcW w:w="1199" w:type="dxa"/>
            <w:tcBorders>
              <w:bottom w:val="single" w:sz="4" w:space="0" w:color="auto"/>
            </w:tcBorders>
            <w:noWrap/>
            <w:hideMark/>
          </w:tcPr>
          <w:p w14:paraId="7D8A76D2" w14:textId="77777777" w:rsidR="00BE51D2" w:rsidRPr="00706F72" w:rsidRDefault="00BE51D2" w:rsidP="00CE5820">
            <w:pPr>
              <w:jc w:val="center"/>
              <w:rPr>
                <w:rFonts w:cstheme="minorHAnsi"/>
                <w:sz w:val="20"/>
                <w:szCs w:val="20"/>
                <w:lang w:val="en-GB"/>
              </w:rPr>
            </w:pPr>
            <w:r w:rsidRPr="00706F72">
              <w:rPr>
                <w:rFonts w:cstheme="minorHAnsi"/>
                <w:sz w:val="20"/>
                <w:szCs w:val="20"/>
                <w:lang w:val="en-GB"/>
              </w:rPr>
              <w:t>LB 95% CI</w:t>
            </w:r>
          </w:p>
        </w:tc>
        <w:tc>
          <w:tcPr>
            <w:tcW w:w="1276" w:type="dxa"/>
            <w:tcBorders>
              <w:bottom w:val="single" w:sz="4" w:space="0" w:color="auto"/>
            </w:tcBorders>
            <w:noWrap/>
            <w:hideMark/>
          </w:tcPr>
          <w:p w14:paraId="43FD609B" w14:textId="77777777" w:rsidR="00BE51D2" w:rsidRPr="00706F72" w:rsidRDefault="00BE51D2" w:rsidP="00CE5820">
            <w:pPr>
              <w:jc w:val="center"/>
              <w:rPr>
                <w:rFonts w:cstheme="minorHAnsi"/>
                <w:sz w:val="20"/>
                <w:szCs w:val="20"/>
                <w:lang w:val="en-GB"/>
              </w:rPr>
            </w:pPr>
            <w:r w:rsidRPr="00706F72">
              <w:rPr>
                <w:rFonts w:cstheme="minorHAnsi"/>
                <w:sz w:val="20"/>
                <w:szCs w:val="20"/>
                <w:lang w:val="en-GB"/>
              </w:rPr>
              <w:t>UB 95%  CI</w:t>
            </w:r>
          </w:p>
        </w:tc>
        <w:tc>
          <w:tcPr>
            <w:tcW w:w="1060" w:type="dxa"/>
            <w:tcBorders>
              <w:bottom w:val="single" w:sz="4" w:space="0" w:color="auto"/>
            </w:tcBorders>
            <w:noWrap/>
            <w:hideMark/>
          </w:tcPr>
          <w:p w14:paraId="6A700022" w14:textId="77777777" w:rsidR="00BE51D2" w:rsidRPr="00706F72" w:rsidRDefault="00BE51D2" w:rsidP="00CE5820">
            <w:pPr>
              <w:jc w:val="center"/>
              <w:rPr>
                <w:rFonts w:cstheme="minorHAnsi"/>
                <w:sz w:val="20"/>
                <w:szCs w:val="20"/>
                <w:lang w:val="en-GB"/>
              </w:rPr>
            </w:pPr>
            <w:r w:rsidRPr="00706F72">
              <w:rPr>
                <w:rFonts w:cstheme="minorHAnsi"/>
                <w:sz w:val="20"/>
                <w:szCs w:val="20"/>
                <w:lang w:val="en-GB"/>
              </w:rPr>
              <w:t>z-statistic</w:t>
            </w:r>
          </w:p>
        </w:tc>
        <w:tc>
          <w:tcPr>
            <w:tcW w:w="860" w:type="dxa"/>
            <w:tcBorders>
              <w:bottom w:val="single" w:sz="4" w:space="0" w:color="auto"/>
            </w:tcBorders>
            <w:noWrap/>
            <w:hideMark/>
          </w:tcPr>
          <w:p w14:paraId="65C212C8" w14:textId="77777777" w:rsidR="00BE51D2" w:rsidRPr="00706F72" w:rsidRDefault="00BE51D2" w:rsidP="00CE5820">
            <w:pPr>
              <w:jc w:val="center"/>
              <w:rPr>
                <w:rFonts w:cstheme="minorHAnsi"/>
                <w:sz w:val="20"/>
                <w:szCs w:val="20"/>
                <w:lang w:val="en-GB"/>
              </w:rPr>
            </w:pPr>
            <w:r w:rsidRPr="00706F72">
              <w:rPr>
                <w:rFonts w:cstheme="minorHAnsi"/>
                <w:sz w:val="20"/>
                <w:szCs w:val="20"/>
                <w:lang w:val="en-GB"/>
              </w:rPr>
              <w:t>p-value</w:t>
            </w:r>
          </w:p>
        </w:tc>
      </w:tr>
      <w:tr w:rsidR="00BE51D2" w:rsidRPr="009769D7" w14:paraId="38F504B8" w14:textId="77777777" w:rsidTr="00CE5820">
        <w:trPr>
          <w:trHeight w:val="300"/>
        </w:trPr>
        <w:tc>
          <w:tcPr>
            <w:tcW w:w="2830" w:type="dxa"/>
            <w:tcBorders>
              <w:top w:val="single" w:sz="4" w:space="0" w:color="auto"/>
            </w:tcBorders>
            <w:hideMark/>
          </w:tcPr>
          <w:p w14:paraId="741ED0C8" w14:textId="77777777" w:rsidR="00BE51D2" w:rsidRPr="00706F72" w:rsidRDefault="00BE51D2" w:rsidP="00CE5820">
            <w:pPr>
              <w:rPr>
                <w:rFonts w:cstheme="minorHAnsi"/>
                <w:sz w:val="20"/>
                <w:szCs w:val="20"/>
                <w:lang w:val="en-GB"/>
              </w:rPr>
            </w:pPr>
            <w:r>
              <w:rPr>
                <w:rFonts w:cstheme="minorHAnsi"/>
                <w:sz w:val="20"/>
                <w:szCs w:val="20"/>
                <w:lang w:val="en-GB"/>
              </w:rPr>
              <w:t>Panel A: Willingness to get vaccinated</w:t>
            </w:r>
          </w:p>
        </w:tc>
        <w:tc>
          <w:tcPr>
            <w:tcW w:w="851" w:type="dxa"/>
            <w:tcBorders>
              <w:top w:val="single" w:sz="4" w:space="0" w:color="auto"/>
            </w:tcBorders>
            <w:noWrap/>
          </w:tcPr>
          <w:p w14:paraId="5D3C86C2" w14:textId="77777777" w:rsidR="00BE51D2" w:rsidRPr="00706F72" w:rsidRDefault="00BE51D2" w:rsidP="00CE5820">
            <w:pPr>
              <w:jc w:val="center"/>
              <w:rPr>
                <w:rFonts w:cstheme="minorHAnsi"/>
                <w:sz w:val="20"/>
                <w:szCs w:val="20"/>
                <w:lang w:val="en-GB"/>
              </w:rPr>
            </w:pPr>
          </w:p>
        </w:tc>
        <w:tc>
          <w:tcPr>
            <w:tcW w:w="850" w:type="dxa"/>
            <w:tcBorders>
              <w:top w:val="single" w:sz="4" w:space="0" w:color="auto"/>
            </w:tcBorders>
            <w:noWrap/>
          </w:tcPr>
          <w:p w14:paraId="760AB549" w14:textId="77777777" w:rsidR="00BE51D2" w:rsidRPr="00706F72" w:rsidRDefault="00BE51D2" w:rsidP="00CE5820">
            <w:pPr>
              <w:jc w:val="center"/>
              <w:rPr>
                <w:rFonts w:cstheme="minorHAnsi"/>
                <w:sz w:val="20"/>
                <w:szCs w:val="20"/>
                <w:lang w:val="en-GB"/>
              </w:rPr>
            </w:pPr>
          </w:p>
        </w:tc>
        <w:tc>
          <w:tcPr>
            <w:tcW w:w="1199" w:type="dxa"/>
            <w:tcBorders>
              <w:top w:val="single" w:sz="4" w:space="0" w:color="auto"/>
            </w:tcBorders>
            <w:noWrap/>
          </w:tcPr>
          <w:p w14:paraId="13D9B88B" w14:textId="77777777" w:rsidR="00BE51D2" w:rsidRPr="00706F72" w:rsidRDefault="00BE51D2" w:rsidP="00CE5820">
            <w:pPr>
              <w:jc w:val="center"/>
              <w:rPr>
                <w:rFonts w:cstheme="minorHAnsi"/>
                <w:sz w:val="20"/>
                <w:szCs w:val="20"/>
                <w:lang w:val="en-GB"/>
              </w:rPr>
            </w:pPr>
          </w:p>
        </w:tc>
        <w:tc>
          <w:tcPr>
            <w:tcW w:w="1276" w:type="dxa"/>
            <w:tcBorders>
              <w:top w:val="single" w:sz="4" w:space="0" w:color="auto"/>
            </w:tcBorders>
            <w:noWrap/>
          </w:tcPr>
          <w:p w14:paraId="22896C43" w14:textId="77777777" w:rsidR="00BE51D2" w:rsidRPr="00706F72" w:rsidRDefault="00BE51D2" w:rsidP="00CE5820">
            <w:pPr>
              <w:jc w:val="center"/>
              <w:rPr>
                <w:rFonts w:cstheme="minorHAnsi"/>
                <w:sz w:val="20"/>
                <w:szCs w:val="20"/>
                <w:lang w:val="en-GB"/>
              </w:rPr>
            </w:pPr>
          </w:p>
        </w:tc>
        <w:tc>
          <w:tcPr>
            <w:tcW w:w="1060" w:type="dxa"/>
            <w:tcBorders>
              <w:top w:val="single" w:sz="4" w:space="0" w:color="auto"/>
            </w:tcBorders>
            <w:noWrap/>
          </w:tcPr>
          <w:p w14:paraId="0D0B0FEC" w14:textId="77777777" w:rsidR="00BE51D2" w:rsidRPr="00706F72" w:rsidRDefault="00BE51D2" w:rsidP="00CE5820">
            <w:pPr>
              <w:jc w:val="center"/>
              <w:rPr>
                <w:rFonts w:cstheme="minorHAnsi"/>
                <w:sz w:val="20"/>
                <w:szCs w:val="20"/>
                <w:lang w:val="en-GB"/>
              </w:rPr>
            </w:pPr>
          </w:p>
        </w:tc>
        <w:tc>
          <w:tcPr>
            <w:tcW w:w="860" w:type="dxa"/>
            <w:tcBorders>
              <w:top w:val="single" w:sz="4" w:space="0" w:color="auto"/>
            </w:tcBorders>
            <w:noWrap/>
          </w:tcPr>
          <w:p w14:paraId="7C6E9271" w14:textId="77777777" w:rsidR="00BE51D2" w:rsidRPr="00706F72" w:rsidRDefault="00BE51D2" w:rsidP="00CE5820">
            <w:pPr>
              <w:jc w:val="center"/>
              <w:rPr>
                <w:rFonts w:cstheme="minorHAnsi"/>
                <w:sz w:val="20"/>
                <w:szCs w:val="20"/>
                <w:lang w:val="en-GB"/>
              </w:rPr>
            </w:pPr>
          </w:p>
        </w:tc>
      </w:tr>
      <w:tr w:rsidR="00BE51D2" w:rsidRPr="002C61C1" w14:paraId="0888B560" w14:textId="77777777" w:rsidTr="00CE5820">
        <w:trPr>
          <w:trHeight w:val="300"/>
        </w:trPr>
        <w:tc>
          <w:tcPr>
            <w:tcW w:w="2830" w:type="dxa"/>
            <w:vAlign w:val="bottom"/>
            <w:hideMark/>
          </w:tcPr>
          <w:p w14:paraId="2AC2D080" w14:textId="77777777" w:rsidR="00BE51D2" w:rsidRPr="00706F72" w:rsidRDefault="00BE51D2" w:rsidP="00CE5820">
            <w:pPr>
              <w:rPr>
                <w:rFonts w:cstheme="minorHAnsi"/>
                <w:sz w:val="20"/>
                <w:szCs w:val="20"/>
                <w:lang w:val="en-GB"/>
              </w:rPr>
            </w:pPr>
            <m:oMathPara>
              <m:oMath>
                <m:r>
                  <w:rPr>
                    <w:rFonts w:ascii="Cambria Math" w:hAnsi="Cambria Math" w:cs="Calibri"/>
                  </w:rPr>
                  <m:t>x</m:t>
                </m:r>
                <m:acc>
                  <m:accPr>
                    <m:ctrlPr>
                      <w:rPr>
                        <w:rFonts w:ascii="Cambria Math" w:hAnsi="Cambria Math" w:cs="Calibri"/>
                        <w:i/>
                      </w:rPr>
                    </m:ctrlPr>
                  </m:accPr>
                  <m:e>
                    <m:r>
                      <w:rPr>
                        <w:rFonts w:ascii="Cambria Math" w:hAnsi="Cambria Math" w:cs="Calibri"/>
                      </w:rPr>
                      <m:t>b</m:t>
                    </m:r>
                  </m:e>
                </m:acc>
              </m:oMath>
            </m:oMathPara>
          </w:p>
        </w:tc>
        <w:tc>
          <w:tcPr>
            <w:tcW w:w="851" w:type="dxa"/>
            <w:noWrap/>
            <w:vAlign w:val="bottom"/>
            <w:hideMark/>
          </w:tcPr>
          <w:p w14:paraId="0EC5872F" w14:textId="77777777" w:rsidR="00BE51D2" w:rsidRPr="00706F72" w:rsidRDefault="00BE51D2" w:rsidP="00CE5820">
            <w:pPr>
              <w:jc w:val="center"/>
              <w:rPr>
                <w:rFonts w:cstheme="minorHAnsi"/>
                <w:sz w:val="20"/>
                <w:szCs w:val="20"/>
                <w:lang w:val="en-GB"/>
              </w:rPr>
            </w:pPr>
            <w:r>
              <w:rPr>
                <w:rFonts w:ascii="Calibri" w:hAnsi="Calibri" w:cs="Calibri"/>
              </w:rPr>
              <w:t>0.945</w:t>
            </w:r>
          </w:p>
        </w:tc>
        <w:tc>
          <w:tcPr>
            <w:tcW w:w="850" w:type="dxa"/>
            <w:noWrap/>
            <w:vAlign w:val="bottom"/>
            <w:hideMark/>
          </w:tcPr>
          <w:p w14:paraId="4ADFD0E5" w14:textId="77777777" w:rsidR="00BE51D2" w:rsidRPr="00706F72" w:rsidRDefault="00BE51D2" w:rsidP="00CE5820">
            <w:pPr>
              <w:jc w:val="center"/>
              <w:rPr>
                <w:rFonts w:cstheme="minorHAnsi"/>
                <w:sz w:val="20"/>
                <w:szCs w:val="20"/>
                <w:lang w:val="en-GB"/>
              </w:rPr>
            </w:pPr>
            <w:r>
              <w:rPr>
                <w:rFonts w:ascii="Calibri" w:hAnsi="Calibri" w:cs="Calibri"/>
              </w:rPr>
              <w:t>0.227</w:t>
            </w:r>
          </w:p>
        </w:tc>
        <w:tc>
          <w:tcPr>
            <w:tcW w:w="1199" w:type="dxa"/>
            <w:noWrap/>
            <w:vAlign w:val="bottom"/>
            <w:hideMark/>
          </w:tcPr>
          <w:p w14:paraId="075DAB39" w14:textId="77777777" w:rsidR="00BE51D2" w:rsidRPr="00706F72" w:rsidRDefault="00BE51D2" w:rsidP="00CE5820">
            <w:pPr>
              <w:jc w:val="center"/>
              <w:rPr>
                <w:rFonts w:cstheme="minorHAnsi"/>
                <w:sz w:val="20"/>
                <w:szCs w:val="20"/>
                <w:lang w:val="en-GB"/>
              </w:rPr>
            </w:pPr>
            <w:r>
              <w:rPr>
                <w:rFonts w:ascii="Calibri" w:hAnsi="Calibri" w:cs="Calibri"/>
              </w:rPr>
              <w:t>0.500</w:t>
            </w:r>
          </w:p>
        </w:tc>
        <w:tc>
          <w:tcPr>
            <w:tcW w:w="1276" w:type="dxa"/>
            <w:noWrap/>
            <w:vAlign w:val="bottom"/>
            <w:hideMark/>
          </w:tcPr>
          <w:p w14:paraId="2F7E6EDE" w14:textId="77777777" w:rsidR="00BE51D2" w:rsidRPr="00706F72" w:rsidRDefault="00BE51D2" w:rsidP="00CE5820">
            <w:pPr>
              <w:jc w:val="center"/>
              <w:rPr>
                <w:rFonts w:cstheme="minorHAnsi"/>
                <w:sz w:val="20"/>
                <w:szCs w:val="20"/>
                <w:lang w:val="en-GB"/>
              </w:rPr>
            </w:pPr>
            <w:r>
              <w:rPr>
                <w:rFonts w:ascii="Calibri" w:hAnsi="Calibri" w:cs="Calibri"/>
              </w:rPr>
              <w:t>1.390</w:t>
            </w:r>
          </w:p>
        </w:tc>
        <w:tc>
          <w:tcPr>
            <w:tcW w:w="1060" w:type="dxa"/>
            <w:noWrap/>
            <w:vAlign w:val="bottom"/>
            <w:hideMark/>
          </w:tcPr>
          <w:p w14:paraId="2070073A" w14:textId="77777777" w:rsidR="00BE51D2" w:rsidRPr="00706F72" w:rsidRDefault="00BE51D2" w:rsidP="00CE5820">
            <w:pPr>
              <w:jc w:val="center"/>
              <w:rPr>
                <w:rFonts w:cstheme="minorHAnsi"/>
                <w:sz w:val="20"/>
                <w:szCs w:val="20"/>
                <w:lang w:val="en-GB"/>
              </w:rPr>
            </w:pPr>
            <w:r>
              <w:rPr>
                <w:rFonts w:ascii="Calibri" w:hAnsi="Calibri" w:cs="Calibri"/>
              </w:rPr>
              <w:t>4.158</w:t>
            </w:r>
          </w:p>
        </w:tc>
        <w:tc>
          <w:tcPr>
            <w:tcW w:w="860" w:type="dxa"/>
            <w:noWrap/>
            <w:vAlign w:val="bottom"/>
            <w:hideMark/>
          </w:tcPr>
          <w:p w14:paraId="04D207FA" w14:textId="77777777" w:rsidR="00BE51D2" w:rsidRPr="00706F72" w:rsidRDefault="00BE51D2" w:rsidP="00CE5820">
            <w:pPr>
              <w:jc w:val="center"/>
              <w:rPr>
                <w:rFonts w:cstheme="minorHAnsi"/>
                <w:sz w:val="20"/>
                <w:szCs w:val="20"/>
                <w:lang w:val="en-GB"/>
              </w:rPr>
            </w:pPr>
            <w:r>
              <w:rPr>
                <w:rFonts w:ascii="Calibri" w:hAnsi="Calibri" w:cs="Calibri"/>
              </w:rPr>
              <w:t>0.000</w:t>
            </w:r>
          </w:p>
        </w:tc>
      </w:tr>
      <w:tr w:rsidR="00BE51D2" w:rsidRPr="002C61C1" w14:paraId="099254D6" w14:textId="77777777" w:rsidTr="00CE5820">
        <w:trPr>
          <w:trHeight w:val="284"/>
        </w:trPr>
        <w:tc>
          <w:tcPr>
            <w:tcW w:w="2830" w:type="dxa"/>
            <w:vAlign w:val="bottom"/>
            <w:hideMark/>
          </w:tcPr>
          <w:p w14:paraId="7FA2D626" w14:textId="77777777" w:rsidR="00BE51D2" w:rsidRPr="009E05CD" w:rsidRDefault="00CC2359" w:rsidP="00CE5820">
            <w:pPr>
              <w:rPr>
                <w:rFonts w:cstheme="minorHAnsi"/>
                <w:sz w:val="20"/>
                <w:szCs w:val="20"/>
                <w:lang w:val="en-GB"/>
              </w:rPr>
            </w:pPr>
            <m:oMathPara>
              <m:oMath>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x</m:t>
                        </m:r>
                        <m:acc>
                          <m:accPr>
                            <m:ctrlPr>
                              <w:rPr>
                                <w:rFonts w:ascii="Cambria Math" w:hAnsi="Cambria Math" w:cs="Calibri"/>
                                <w:i/>
                              </w:rPr>
                            </m:ctrlPr>
                          </m:accPr>
                          <m:e>
                            <m:r>
                              <w:rPr>
                                <w:rFonts w:ascii="Cambria Math" w:hAnsi="Cambria Math" w:cs="Calibri"/>
                              </w:rPr>
                              <m:t>b</m:t>
                            </m:r>
                          </m:e>
                        </m:acc>
                      </m:e>
                    </m:d>
                  </m:e>
                  <m:sup>
                    <m:r>
                      <w:rPr>
                        <w:rFonts w:ascii="Cambria Math" w:hAnsi="Cambria Math" w:cs="Calibri"/>
                      </w:rPr>
                      <m:t>2</m:t>
                    </m:r>
                  </m:sup>
                </m:sSup>
              </m:oMath>
            </m:oMathPara>
          </w:p>
        </w:tc>
        <w:tc>
          <w:tcPr>
            <w:tcW w:w="851" w:type="dxa"/>
            <w:noWrap/>
            <w:vAlign w:val="bottom"/>
            <w:hideMark/>
          </w:tcPr>
          <w:p w14:paraId="24FE6B70" w14:textId="77777777" w:rsidR="00BE51D2" w:rsidRPr="00706F72" w:rsidRDefault="00BE51D2" w:rsidP="00CE5820">
            <w:pPr>
              <w:jc w:val="center"/>
              <w:rPr>
                <w:rFonts w:cstheme="minorHAnsi"/>
                <w:sz w:val="20"/>
                <w:szCs w:val="20"/>
                <w:lang w:val="en-GB"/>
              </w:rPr>
            </w:pPr>
            <w:r>
              <w:rPr>
                <w:rFonts w:ascii="Calibri" w:hAnsi="Calibri" w:cs="Calibri"/>
              </w:rPr>
              <w:t>0.032</w:t>
            </w:r>
          </w:p>
        </w:tc>
        <w:tc>
          <w:tcPr>
            <w:tcW w:w="850" w:type="dxa"/>
            <w:noWrap/>
            <w:vAlign w:val="bottom"/>
            <w:hideMark/>
          </w:tcPr>
          <w:p w14:paraId="4F6C7670" w14:textId="77777777" w:rsidR="00BE51D2" w:rsidRPr="00706F72" w:rsidRDefault="00BE51D2" w:rsidP="00CE5820">
            <w:pPr>
              <w:jc w:val="center"/>
              <w:rPr>
                <w:rFonts w:cstheme="minorHAnsi"/>
                <w:sz w:val="20"/>
                <w:szCs w:val="20"/>
                <w:lang w:val="en-GB"/>
              </w:rPr>
            </w:pPr>
            <w:r>
              <w:rPr>
                <w:rFonts w:ascii="Calibri" w:hAnsi="Calibri" w:cs="Calibri"/>
              </w:rPr>
              <w:t>0.111</w:t>
            </w:r>
          </w:p>
        </w:tc>
        <w:tc>
          <w:tcPr>
            <w:tcW w:w="1199" w:type="dxa"/>
            <w:noWrap/>
            <w:vAlign w:val="bottom"/>
            <w:hideMark/>
          </w:tcPr>
          <w:p w14:paraId="0F087CDC" w14:textId="77777777" w:rsidR="00BE51D2" w:rsidRPr="00706F72" w:rsidRDefault="00BE51D2" w:rsidP="00CE5820">
            <w:pPr>
              <w:jc w:val="center"/>
              <w:rPr>
                <w:rFonts w:cstheme="minorHAnsi"/>
                <w:sz w:val="20"/>
                <w:szCs w:val="20"/>
                <w:lang w:val="en-GB"/>
              </w:rPr>
            </w:pPr>
            <w:r>
              <w:rPr>
                <w:rFonts w:ascii="Calibri" w:hAnsi="Calibri" w:cs="Calibri"/>
              </w:rPr>
              <w:t>-0.186</w:t>
            </w:r>
          </w:p>
        </w:tc>
        <w:tc>
          <w:tcPr>
            <w:tcW w:w="1276" w:type="dxa"/>
            <w:noWrap/>
            <w:vAlign w:val="bottom"/>
            <w:hideMark/>
          </w:tcPr>
          <w:p w14:paraId="53AAB30D" w14:textId="77777777" w:rsidR="00BE51D2" w:rsidRPr="00706F72" w:rsidRDefault="00BE51D2" w:rsidP="00CE5820">
            <w:pPr>
              <w:jc w:val="center"/>
              <w:rPr>
                <w:rFonts w:cstheme="minorHAnsi"/>
                <w:sz w:val="20"/>
                <w:szCs w:val="20"/>
                <w:lang w:val="en-GB"/>
              </w:rPr>
            </w:pPr>
            <w:r>
              <w:rPr>
                <w:rFonts w:ascii="Calibri" w:hAnsi="Calibri" w:cs="Calibri"/>
              </w:rPr>
              <w:t>0.249</w:t>
            </w:r>
          </w:p>
        </w:tc>
        <w:tc>
          <w:tcPr>
            <w:tcW w:w="1060" w:type="dxa"/>
            <w:noWrap/>
            <w:vAlign w:val="bottom"/>
            <w:hideMark/>
          </w:tcPr>
          <w:p w14:paraId="56A3DD3A" w14:textId="77777777" w:rsidR="00BE51D2" w:rsidRPr="00706F72" w:rsidRDefault="00BE51D2" w:rsidP="00CE5820">
            <w:pPr>
              <w:jc w:val="center"/>
              <w:rPr>
                <w:rFonts w:cstheme="minorHAnsi"/>
                <w:sz w:val="20"/>
                <w:szCs w:val="20"/>
                <w:lang w:val="en-GB"/>
              </w:rPr>
            </w:pPr>
            <w:r>
              <w:rPr>
                <w:rFonts w:ascii="Calibri" w:hAnsi="Calibri" w:cs="Calibri"/>
              </w:rPr>
              <w:t>0.284</w:t>
            </w:r>
          </w:p>
        </w:tc>
        <w:tc>
          <w:tcPr>
            <w:tcW w:w="860" w:type="dxa"/>
            <w:noWrap/>
            <w:vAlign w:val="bottom"/>
            <w:hideMark/>
          </w:tcPr>
          <w:p w14:paraId="676ADC4D" w14:textId="77777777" w:rsidR="00BE51D2" w:rsidRPr="00706F72" w:rsidRDefault="00BE51D2" w:rsidP="00CE5820">
            <w:pPr>
              <w:jc w:val="center"/>
              <w:rPr>
                <w:rFonts w:cstheme="minorHAnsi"/>
                <w:sz w:val="20"/>
                <w:szCs w:val="20"/>
                <w:lang w:val="en-GB"/>
              </w:rPr>
            </w:pPr>
            <w:r>
              <w:rPr>
                <w:rFonts w:ascii="Calibri" w:hAnsi="Calibri" w:cs="Calibri"/>
              </w:rPr>
              <w:t>0.776</w:t>
            </w:r>
          </w:p>
        </w:tc>
      </w:tr>
      <w:tr w:rsidR="00BE51D2" w:rsidRPr="009769D7" w14:paraId="244D0496" w14:textId="77777777" w:rsidTr="00CE5820">
        <w:trPr>
          <w:trHeight w:val="300"/>
        </w:trPr>
        <w:tc>
          <w:tcPr>
            <w:tcW w:w="2830" w:type="dxa"/>
            <w:tcBorders>
              <w:top w:val="single" w:sz="4" w:space="0" w:color="auto"/>
            </w:tcBorders>
            <w:vAlign w:val="bottom"/>
            <w:hideMark/>
          </w:tcPr>
          <w:p w14:paraId="4DCD4792" w14:textId="77777777" w:rsidR="00BE51D2" w:rsidRPr="009E05CD" w:rsidRDefault="00BE51D2" w:rsidP="00F932EE">
            <w:pPr>
              <w:rPr>
                <w:rFonts w:cstheme="minorHAnsi"/>
                <w:sz w:val="20"/>
                <w:szCs w:val="20"/>
                <w:lang w:val="en-GB"/>
              </w:rPr>
            </w:pPr>
            <w:r w:rsidRPr="009E05CD">
              <w:rPr>
                <w:rFonts w:cstheme="minorHAnsi"/>
                <w:sz w:val="20"/>
                <w:szCs w:val="20"/>
                <w:lang w:val="en-GB"/>
              </w:rPr>
              <w:t xml:space="preserve">Panel B: Attitude toward </w:t>
            </w:r>
            <w:r w:rsidR="00F932EE" w:rsidRPr="009E05CD">
              <w:rPr>
                <w:rFonts w:cstheme="minorHAnsi"/>
                <w:sz w:val="20"/>
                <w:szCs w:val="20"/>
                <w:lang w:val="en-GB"/>
              </w:rPr>
              <w:t>mandatory</w:t>
            </w:r>
            <w:r w:rsidRPr="009E05CD">
              <w:rPr>
                <w:rFonts w:cstheme="minorHAnsi"/>
                <w:sz w:val="20"/>
                <w:szCs w:val="20"/>
                <w:lang w:val="en-GB"/>
              </w:rPr>
              <w:t xml:space="preserve"> vaccination</w:t>
            </w:r>
          </w:p>
        </w:tc>
        <w:tc>
          <w:tcPr>
            <w:tcW w:w="851" w:type="dxa"/>
            <w:tcBorders>
              <w:top w:val="single" w:sz="4" w:space="0" w:color="auto"/>
            </w:tcBorders>
            <w:noWrap/>
            <w:vAlign w:val="bottom"/>
          </w:tcPr>
          <w:p w14:paraId="573F7DDC" w14:textId="77777777" w:rsidR="00BE51D2" w:rsidRPr="00706F72" w:rsidRDefault="00BE51D2" w:rsidP="00CE5820">
            <w:pPr>
              <w:jc w:val="center"/>
              <w:rPr>
                <w:rFonts w:cstheme="minorHAnsi"/>
                <w:sz w:val="20"/>
                <w:szCs w:val="20"/>
                <w:lang w:val="en-GB"/>
              </w:rPr>
            </w:pPr>
          </w:p>
        </w:tc>
        <w:tc>
          <w:tcPr>
            <w:tcW w:w="850" w:type="dxa"/>
            <w:tcBorders>
              <w:top w:val="single" w:sz="4" w:space="0" w:color="auto"/>
            </w:tcBorders>
            <w:noWrap/>
            <w:vAlign w:val="bottom"/>
          </w:tcPr>
          <w:p w14:paraId="39CC4840" w14:textId="77777777" w:rsidR="00BE51D2" w:rsidRPr="00706F72" w:rsidRDefault="00BE51D2" w:rsidP="00CE5820">
            <w:pPr>
              <w:jc w:val="center"/>
              <w:rPr>
                <w:rFonts w:cstheme="minorHAnsi"/>
                <w:sz w:val="20"/>
                <w:szCs w:val="20"/>
                <w:lang w:val="en-GB"/>
              </w:rPr>
            </w:pPr>
          </w:p>
        </w:tc>
        <w:tc>
          <w:tcPr>
            <w:tcW w:w="1199" w:type="dxa"/>
            <w:tcBorders>
              <w:top w:val="single" w:sz="4" w:space="0" w:color="auto"/>
            </w:tcBorders>
            <w:noWrap/>
            <w:vAlign w:val="bottom"/>
          </w:tcPr>
          <w:p w14:paraId="6CFC853B" w14:textId="77777777" w:rsidR="00BE51D2" w:rsidRPr="00706F72" w:rsidRDefault="00BE51D2" w:rsidP="00CE5820">
            <w:pPr>
              <w:jc w:val="center"/>
              <w:rPr>
                <w:rFonts w:cstheme="minorHAnsi"/>
                <w:sz w:val="20"/>
                <w:szCs w:val="20"/>
                <w:lang w:val="en-GB"/>
              </w:rPr>
            </w:pPr>
          </w:p>
        </w:tc>
        <w:tc>
          <w:tcPr>
            <w:tcW w:w="1276" w:type="dxa"/>
            <w:tcBorders>
              <w:top w:val="single" w:sz="4" w:space="0" w:color="auto"/>
            </w:tcBorders>
            <w:noWrap/>
            <w:vAlign w:val="bottom"/>
          </w:tcPr>
          <w:p w14:paraId="2E901B4D" w14:textId="77777777" w:rsidR="00BE51D2" w:rsidRPr="00706F72" w:rsidRDefault="00BE51D2" w:rsidP="00CE5820">
            <w:pPr>
              <w:jc w:val="center"/>
              <w:rPr>
                <w:rFonts w:cstheme="minorHAnsi"/>
                <w:sz w:val="20"/>
                <w:szCs w:val="20"/>
                <w:lang w:val="en-GB"/>
              </w:rPr>
            </w:pPr>
          </w:p>
        </w:tc>
        <w:tc>
          <w:tcPr>
            <w:tcW w:w="1060" w:type="dxa"/>
            <w:tcBorders>
              <w:top w:val="single" w:sz="4" w:space="0" w:color="auto"/>
            </w:tcBorders>
            <w:noWrap/>
            <w:vAlign w:val="bottom"/>
          </w:tcPr>
          <w:p w14:paraId="69741DFB" w14:textId="77777777" w:rsidR="00BE51D2" w:rsidRPr="00706F72" w:rsidRDefault="00BE51D2" w:rsidP="00CE5820">
            <w:pPr>
              <w:jc w:val="center"/>
              <w:rPr>
                <w:rFonts w:cstheme="minorHAnsi"/>
                <w:sz w:val="20"/>
                <w:szCs w:val="20"/>
                <w:lang w:val="en-GB"/>
              </w:rPr>
            </w:pPr>
          </w:p>
        </w:tc>
        <w:tc>
          <w:tcPr>
            <w:tcW w:w="860" w:type="dxa"/>
            <w:tcBorders>
              <w:top w:val="single" w:sz="4" w:space="0" w:color="auto"/>
            </w:tcBorders>
            <w:noWrap/>
            <w:vAlign w:val="bottom"/>
          </w:tcPr>
          <w:p w14:paraId="26AF0B30" w14:textId="77777777" w:rsidR="00BE51D2" w:rsidRPr="00706F72" w:rsidRDefault="00BE51D2" w:rsidP="00CE5820">
            <w:pPr>
              <w:jc w:val="center"/>
              <w:rPr>
                <w:rFonts w:cstheme="minorHAnsi"/>
                <w:sz w:val="20"/>
                <w:szCs w:val="20"/>
                <w:lang w:val="en-GB"/>
              </w:rPr>
            </w:pPr>
          </w:p>
        </w:tc>
      </w:tr>
      <w:tr w:rsidR="00BE51D2" w:rsidRPr="002C61C1" w14:paraId="3344EA71" w14:textId="77777777" w:rsidTr="00CE5820">
        <w:trPr>
          <w:trHeight w:val="252"/>
        </w:trPr>
        <w:tc>
          <w:tcPr>
            <w:tcW w:w="2830" w:type="dxa"/>
            <w:vAlign w:val="bottom"/>
            <w:hideMark/>
          </w:tcPr>
          <w:p w14:paraId="39B5A14B" w14:textId="77777777" w:rsidR="00BE51D2" w:rsidRPr="00706F72" w:rsidRDefault="00BE51D2" w:rsidP="00CE5820">
            <w:pPr>
              <w:rPr>
                <w:rFonts w:cstheme="minorHAnsi"/>
                <w:sz w:val="20"/>
                <w:szCs w:val="20"/>
                <w:lang w:val="en-GB"/>
              </w:rPr>
            </w:pPr>
            <m:oMathPara>
              <m:oMath>
                <m:r>
                  <w:rPr>
                    <w:rFonts w:ascii="Cambria Math" w:hAnsi="Cambria Math" w:cs="Calibri"/>
                  </w:rPr>
                  <m:t>x</m:t>
                </m:r>
                <m:acc>
                  <m:accPr>
                    <m:ctrlPr>
                      <w:rPr>
                        <w:rFonts w:ascii="Cambria Math" w:hAnsi="Cambria Math" w:cs="Calibri"/>
                        <w:i/>
                      </w:rPr>
                    </m:ctrlPr>
                  </m:accPr>
                  <m:e>
                    <m:r>
                      <w:rPr>
                        <w:rFonts w:ascii="Cambria Math" w:hAnsi="Cambria Math" w:cs="Calibri"/>
                      </w:rPr>
                      <m:t>b</m:t>
                    </m:r>
                  </m:e>
                </m:acc>
              </m:oMath>
            </m:oMathPara>
          </w:p>
        </w:tc>
        <w:tc>
          <w:tcPr>
            <w:tcW w:w="851" w:type="dxa"/>
            <w:noWrap/>
            <w:vAlign w:val="bottom"/>
            <w:hideMark/>
          </w:tcPr>
          <w:p w14:paraId="07F999EF" w14:textId="77777777" w:rsidR="00BE51D2" w:rsidRPr="00706F72" w:rsidRDefault="00BE51D2" w:rsidP="00CE5820">
            <w:pPr>
              <w:jc w:val="center"/>
              <w:rPr>
                <w:rFonts w:cstheme="minorHAnsi"/>
                <w:sz w:val="20"/>
                <w:szCs w:val="20"/>
                <w:lang w:val="en-GB"/>
              </w:rPr>
            </w:pPr>
            <w:r>
              <w:rPr>
                <w:rFonts w:ascii="Calibri" w:hAnsi="Calibri" w:cs="Calibri"/>
              </w:rPr>
              <w:t>1.044</w:t>
            </w:r>
          </w:p>
        </w:tc>
        <w:tc>
          <w:tcPr>
            <w:tcW w:w="850" w:type="dxa"/>
            <w:noWrap/>
            <w:vAlign w:val="bottom"/>
            <w:hideMark/>
          </w:tcPr>
          <w:p w14:paraId="0D931794" w14:textId="77777777" w:rsidR="00BE51D2" w:rsidRPr="00706F72" w:rsidRDefault="00BE51D2" w:rsidP="00CE5820">
            <w:pPr>
              <w:jc w:val="center"/>
              <w:rPr>
                <w:rFonts w:cstheme="minorHAnsi"/>
                <w:sz w:val="20"/>
                <w:szCs w:val="20"/>
                <w:lang w:val="en-GB"/>
              </w:rPr>
            </w:pPr>
            <w:r>
              <w:rPr>
                <w:rFonts w:ascii="Calibri" w:hAnsi="Calibri" w:cs="Calibri"/>
              </w:rPr>
              <w:t>0.134</w:t>
            </w:r>
          </w:p>
        </w:tc>
        <w:tc>
          <w:tcPr>
            <w:tcW w:w="1199" w:type="dxa"/>
            <w:noWrap/>
            <w:vAlign w:val="bottom"/>
            <w:hideMark/>
          </w:tcPr>
          <w:p w14:paraId="5EFC539E" w14:textId="77777777" w:rsidR="00BE51D2" w:rsidRPr="00706F72" w:rsidRDefault="00BE51D2" w:rsidP="00CE5820">
            <w:pPr>
              <w:jc w:val="center"/>
              <w:rPr>
                <w:rFonts w:cstheme="minorHAnsi"/>
                <w:sz w:val="20"/>
                <w:szCs w:val="20"/>
                <w:lang w:val="en-GB"/>
              </w:rPr>
            </w:pPr>
            <w:r>
              <w:rPr>
                <w:rFonts w:ascii="Calibri" w:hAnsi="Calibri" w:cs="Calibri"/>
              </w:rPr>
              <w:t>0.781</w:t>
            </w:r>
          </w:p>
        </w:tc>
        <w:tc>
          <w:tcPr>
            <w:tcW w:w="1276" w:type="dxa"/>
            <w:noWrap/>
            <w:vAlign w:val="bottom"/>
            <w:hideMark/>
          </w:tcPr>
          <w:p w14:paraId="1120BFD9" w14:textId="77777777" w:rsidR="00BE51D2" w:rsidRPr="00706F72" w:rsidRDefault="00BE51D2" w:rsidP="00CE5820">
            <w:pPr>
              <w:jc w:val="center"/>
              <w:rPr>
                <w:rFonts w:cstheme="minorHAnsi"/>
                <w:sz w:val="20"/>
                <w:szCs w:val="20"/>
                <w:lang w:val="en-GB"/>
              </w:rPr>
            </w:pPr>
            <w:r>
              <w:rPr>
                <w:rFonts w:ascii="Calibri" w:hAnsi="Calibri" w:cs="Calibri"/>
              </w:rPr>
              <w:t>1.307</w:t>
            </w:r>
          </w:p>
        </w:tc>
        <w:tc>
          <w:tcPr>
            <w:tcW w:w="1060" w:type="dxa"/>
            <w:noWrap/>
            <w:vAlign w:val="bottom"/>
            <w:hideMark/>
          </w:tcPr>
          <w:p w14:paraId="306CAD71" w14:textId="77777777" w:rsidR="00BE51D2" w:rsidRPr="00706F72" w:rsidRDefault="00BE51D2" w:rsidP="00CE5820">
            <w:pPr>
              <w:jc w:val="center"/>
              <w:rPr>
                <w:rFonts w:cstheme="minorHAnsi"/>
                <w:sz w:val="20"/>
                <w:szCs w:val="20"/>
                <w:lang w:val="en-GB"/>
              </w:rPr>
            </w:pPr>
            <w:r>
              <w:rPr>
                <w:rFonts w:ascii="Calibri" w:hAnsi="Calibri" w:cs="Calibri"/>
              </w:rPr>
              <w:t>7.776</w:t>
            </w:r>
          </w:p>
        </w:tc>
        <w:tc>
          <w:tcPr>
            <w:tcW w:w="860" w:type="dxa"/>
            <w:noWrap/>
            <w:vAlign w:val="bottom"/>
            <w:hideMark/>
          </w:tcPr>
          <w:p w14:paraId="54469813" w14:textId="77777777" w:rsidR="00BE51D2" w:rsidRPr="00706F72" w:rsidRDefault="00BE51D2" w:rsidP="00CE5820">
            <w:pPr>
              <w:jc w:val="center"/>
              <w:rPr>
                <w:rFonts w:cstheme="minorHAnsi"/>
                <w:sz w:val="20"/>
                <w:szCs w:val="20"/>
                <w:lang w:val="en-GB"/>
              </w:rPr>
            </w:pPr>
            <w:r>
              <w:rPr>
                <w:rFonts w:ascii="Calibri" w:hAnsi="Calibri" w:cs="Calibri"/>
              </w:rPr>
              <w:t>0.000</w:t>
            </w:r>
          </w:p>
        </w:tc>
      </w:tr>
      <w:tr w:rsidR="00BE51D2" w:rsidRPr="002C61C1" w14:paraId="15E45E11" w14:textId="77777777" w:rsidTr="00CE5820">
        <w:trPr>
          <w:trHeight w:val="300"/>
        </w:trPr>
        <w:tc>
          <w:tcPr>
            <w:tcW w:w="2830" w:type="dxa"/>
            <w:tcBorders>
              <w:bottom w:val="single" w:sz="4" w:space="0" w:color="auto"/>
            </w:tcBorders>
            <w:vAlign w:val="bottom"/>
            <w:hideMark/>
          </w:tcPr>
          <w:p w14:paraId="75E2CD36" w14:textId="77777777" w:rsidR="00BE51D2" w:rsidRPr="00706F72" w:rsidRDefault="00CC2359" w:rsidP="00CE5820">
            <w:pPr>
              <w:rPr>
                <w:rFonts w:cstheme="minorHAnsi"/>
                <w:sz w:val="20"/>
                <w:szCs w:val="20"/>
                <w:lang w:val="en-GB"/>
              </w:rPr>
            </w:pPr>
            <m:oMathPara>
              <m:oMath>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x</m:t>
                        </m:r>
                        <m:acc>
                          <m:accPr>
                            <m:ctrlPr>
                              <w:rPr>
                                <w:rFonts w:ascii="Cambria Math" w:hAnsi="Cambria Math" w:cs="Calibri"/>
                                <w:i/>
                              </w:rPr>
                            </m:ctrlPr>
                          </m:accPr>
                          <m:e>
                            <m:r>
                              <w:rPr>
                                <w:rFonts w:ascii="Cambria Math" w:hAnsi="Cambria Math" w:cs="Calibri"/>
                              </w:rPr>
                              <m:t>b</m:t>
                            </m:r>
                          </m:e>
                        </m:acc>
                      </m:e>
                    </m:d>
                  </m:e>
                  <m:sup>
                    <m:r>
                      <w:rPr>
                        <w:rFonts w:ascii="Cambria Math" w:hAnsi="Cambria Math" w:cs="Calibri"/>
                      </w:rPr>
                      <m:t>2</m:t>
                    </m:r>
                  </m:sup>
                </m:sSup>
              </m:oMath>
            </m:oMathPara>
          </w:p>
        </w:tc>
        <w:tc>
          <w:tcPr>
            <w:tcW w:w="851" w:type="dxa"/>
            <w:tcBorders>
              <w:bottom w:val="single" w:sz="4" w:space="0" w:color="auto"/>
            </w:tcBorders>
            <w:noWrap/>
            <w:vAlign w:val="bottom"/>
            <w:hideMark/>
          </w:tcPr>
          <w:p w14:paraId="18E77A7E" w14:textId="77777777" w:rsidR="00BE51D2" w:rsidRPr="00706F72" w:rsidRDefault="00BE51D2" w:rsidP="00CE5820">
            <w:pPr>
              <w:jc w:val="center"/>
              <w:rPr>
                <w:rFonts w:cstheme="minorHAnsi"/>
                <w:sz w:val="20"/>
                <w:szCs w:val="20"/>
                <w:lang w:val="en-GB"/>
              </w:rPr>
            </w:pPr>
            <w:r>
              <w:rPr>
                <w:rFonts w:ascii="Calibri" w:hAnsi="Calibri" w:cs="Calibri"/>
              </w:rPr>
              <w:t>0.145</w:t>
            </w:r>
          </w:p>
        </w:tc>
        <w:tc>
          <w:tcPr>
            <w:tcW w:w="850" w:type="dxa"/>
            <w:tcBorders>
              <w:bottom w:val="single" w:sz="4" w:space="0" w:color="auto"/>
            </w:tcBorders>
            <w:noWrap/>
            <w:vAlign w:val="bottom"/>
            <w:hideMark/>
          </w:tcPr>
          <w:p w14:paraId="03530094" w14:textId="77777777" w:rsidR="00BE51D2" w:rsidRPr="00706F72" w:rsidRDefault="00BE51D2" w:rsidP="00CE5820">
            <w:pPr>
              <w:jc w:val="center"/>
              <w:rPr>
                <w:rFonts w:cstheme="minorHAnsi"/>
                <w:sz w:val="20"/>
                <w:szCs w:val="20"/>
                <w:lang w:val="en-GB"/>
              </w:rPr>
            </w:pPr>
            <w:r>
              <w:rPr>
                <w:rFonts w:ascii="Calibri" w:hAnsi="Calibri" w:cs="Calibri"/>
              </w:rPr>
              <w:t>0.144</w:t>
            </w:r>
          </w:p>
        </w:tc>
        <w:tc>
          <w:tcPr>
            <w:tcW w:w="1199" w:type="dxa"/>
            <w:tcBorders>
              <w:bottom w:val="single" w:sz="4" w:space="0" w:color="auto"/>
            </w:tcBorders>
            <w:noWrap/>
            <w:vAlign w:val="bottom"/>
            <w:hideMark/>
          </w:tcPr>
          <w:p w14:paraId="2249E836" w14:textId="77777777" w:rsidR="00BE51D2" w:rsidRPr="00706F72" w:rsidRDefault="00BE51D2" w:rsidP="00CE5820">
            <w:pPr>
              <w:jc w:val="center"/>
              <w:rPr>
                <w:rFonts w:cstheme="minorHAnsi"/>
                <w:sz w:val="20"/>
                <w:szCs w:val="20"/>
                <w:lang w:val="en-GB"/>
              </w:rPr>
            </w:pPr>
            <w:r>
              <w:rPr>
                <w:rFonts w:ascii="Calibri" w:hAnsi="Calibri" w:cs="Calibri"/>
              </w:rPr>
              <w:t>-0.137</w:t>
            </w:r>
          </w:p>
        </w:tc>
        <w:tc>
          <w:tcPr>
            <w:tcW w:w="1276" w:type="dxa"/>
            <w:tcBorders>
              <w:bottom w:val="single" w:sz="4" w:space="0" w:color="auto"/>
            </w:tcBorders>
            <w:noWrap/>
            <w:vAlign w:val="bottom"/>
            <w:hideMark/>
          </w:tcPr>
          <w:p w14:paraId="085E2D2D" w14:textId="77777777" w:rsidR="00BE51D2" w:rsidRPr="00706F72" w:rsidRDefault="00BE51D2" w:rsidP="00CE5820">
            <w:pPr>
              <w:jc w:val="center"/>
              <w:rPr>
                <w:rFonts w:cstheme="minorHAnsi"/>
                <w:sz w:val="20"/>
                <w:szCs w:val="20"/>
                <w:lang w:val="en-GB"/>
              </w:rPr>
            </w:pPr>
            <w:r>
              <w:rPr>
                <w:rFonts w:ascii="Calibri" w:hAnsi="Calibri" w:cs="Calibri"/>
              </w:rPr>
              <w:t>0.427</w:t>
            </w:r>
          </w:p>
        </w:tc>
        <w:tc>
          <w:tcPr>
            <w:tcW w:w="1060" w:type="dxa"/>
            <w:tcBorders>
              <w:bottom w:val="single" w:sz="4" w:space="0" w:color="auto"/>
            </w:tcBorders>
            <w:noWrap/>
            <w:vAlign w:val="bottom"/>
            <w:hideMark/>
          </w:tcPr>
          <w:p w14:paraId="1FF7BB64" w14:textId="77777777" w:rsidR="00BE51D2" w:rsidRPr="00706F72" w:rsidRDefault="00BE51D2" w:rsidP="00CE5820">
            <w:pPr>
              <w:jc w:val="center"/>
              <w:rPr>
                <w:rFonts w:cstheme="minorHAnsi"/>
                <w:sz w:val="20"/>
                <w:szCs w:val="20"/>
                <w:lang w:val="en-GB"/>
              </w:rPr>
            </w:pPr>
            <w:r>
              <w:rPr>
                <w:rFonts w:ascii="Calibri" w:hAnsi="Calibri" w:cs="Calibri"/>
              </w:rPr>
              <w:t>1.007</w:t>
            </w:r>
          </w:p>
        </w:tc>
        <w:tc>
          <w:tcPr>
            <w:tcW w:w="860" w:type="dxa"/>
            <w:tcBorders>
              <w:bottom w:val="single" w:sz="4" w:space="0" w:color="auto"/>
            </w:tcBorders>
            <w:noWrap/>
            <w:vAlign w:val="bottom"/>
            <w:hideMark/>
          </w:tcPr>
          <w:p w14:paraId="7DDCACF6" w14:textId="77777777" w:rsidR="00BE51D2" w:rsidRPr="00706F72" w:rsidRDefault="00BE51D2" w:rsidP="00CE5820">
            <w:pPr>
              <w:jc w:val="center"/>
              <w:rPr>
                <w:rFonts w:cstheme="minorHAnsi"/>
                <w:sz w:val="20"/>
                <w:szCs w:val="20"/>
                <w:lang w:val="en-GB"/>
              </w:rPr>
            </w:pPr>
            <w:r>
              <w:rPr>
                <w:rFonts w:ascii="Calibri" w:hAnsi="Calibri" w:cs="Calibri"/>
              </w:rPr>
              <w:t>0.314</w:t>
            </w:r>
          </w:p>
        </w:tc>
      </w:tr>
    </w:tbl>
    <w:p w14:paraId="74F98006" w14:textId="0974C8EF" w:rsidR="00BE51D2" w:rsidRDefault="00BE51D2" w:rsidP="00BE51D2">
      <w:pPr>
        <w:rPr>
          <w:rFonts w:cstheme="minorHAnsi"/>
          <w:sz w:val="20"/>
          <w:szCs w:val="20"/>
          <w:lang w:val="en-US"/>
        </w:rPr>
      </w:pPr>
      <w:r w:rsidRPr="00706F72">
        <w:rPr>
          <w:rFonts w:cstheme="minorHAnsi"/>
          <w:i/>
          <w:sz w:val="20"/>
          <w:szCs w:val="20"/>
          <w:lang w:val="en-GB"/>
        </w:rPr>
        <w:t>Note.</w:t>
      </w:r>
      <w:r w:rsidRPr="00706F72">
        <w:rPr>
          <w:rFonts w:cstheme="minorHAnsi"/>
          <w:sz w:val="20"/>
          <w:szCs w:val="20"/>
          <w:lang w:val="en-GB"/>
        </w:rPr>
        <w:t xml:space="preserve"> Data from SOEP and SOEP-CoV. All numbers unweighted. </w:t>
      </w:r>
      <w:r>
        <w:rPr>
          <w:rFonts w:cstheme="minorHAnsi"/>
          <w:sz w:val="20"/>
          <w:szCs w:val="20"/>
          <w:lang w:val="en-GB"/>
        </w:rPr>
        <w:t>2.1</w:t>
      </w:r>
      <w:r w:rsidR="00FF4401">
        <w:rPr>
          <w:rFonts w:cstheme="minorHAnsi"/>
          <w:sz w:val="20"/>
          <w:szCs w:val="20"/>
          <w:lang w:val="en-GB"/>
        </w:rPr>
        <w:t xml:space="preserve"> Table</w:t>
      </w:r>
      <w:r>
        <w:rPr>
          <w:rFonts w:cstheme="minorHAnsi"/>
          <w:sz w:val="20"/>
          <w:szCs w:val="20"/>
          <w:lang w:val="en-GB"/>
        </w:rPr>
        <w:t xml:space="preserve"> displays the results for logit regressions of the indicator for individuals’ willingness to vaccinate and attitudes towards obligatory vaccinations on the linear combinations of the coefficient estimates and the associated covariates from the respective logit regressions underlying Table</w:t>
      </w:r>
      <w:r w:rsidR="00877C82">
        <w:rPr>
          <w:rFonts w:cstheme="minorHAnsi"/>
          <w:sz w:val="20"/>
          <w:szCs w:val="20"/>
          <w:lang w:val="en-GB"/>
        </w:rPr>
        <w:t>s</w:t>
      </w:r>
      <w:r>
        <w:rPr>
          <w:rFonts w:cstheme="minorHAnsi"/>
          <w:sz w:val="20"/>
          <w:szCs w:val="20"/>
          <w:lang w:val="en-GB"/>
        </w:rPr>
        <w:t xml:space="preserve"> 4 and 5</w:t>
      </w:r>
      <w:r w:rsidRPr="001F6940">
        <w:rPr>
          <w:rFonts w:cstheme="minorHAnsi"/>
          <w:sz w:val="20"/>
          <w:szCs w:val="20"/>
          <w:lang w:val="en-US"/>
        </w:rPr>
        <w:t>.</w:t>
      </w:r>
    </w:p>
    <w:p w14:paraId="22B15BD2" w14:textId="77777777" w:rsidR="00BE51D2" w:rsidRDefault="00BE51D2" w:rsidP="00BE51D2">
      <w:pPr>
        <w:spacing w:line="276" w:lineRule="auto"/>
        <w:jc w:val="both"/>
        <w:rPr>
          <w:rFonts w:cstheme="minorHAnsi"/>
          <w:lang w:val="en-US"/>
        </w:rPr>
      </w:pPr>
    </w:p>
    <w:p w14:paraId="091C41A9" w14:textId="14D524D0" w:rsidR="00BE51D2" w:rsidRDefault="00BE51D2" w:rsidP="00BE51D2">
      <w:pPr>
        <w:spacing w:line="276" w:lineRule="auto"/>
        <w:jc w:val="both"/>
        <w:rPr>
          <w:rFonts w:cstheme="minorHAnsi"/>
          <w:lang w:val="en-US"/>
        </w:rPr>
      </w:pPr>
      <w:r w:rsidRPr="00DD157A">
        <w:rPr>
          <w:rFonts w:cstheme="minorHAnsi"/>
          <w:lang w:val="en-US"/>
        </w:rPr>
        <w:t>An additional specification diagnostic includes the ROC analysis. The idea is that for each classification criterion, based on the prediction from the logit regressions, we can calculate the specificity and sensitivity of the criterion. A visual depiction of all combinations is the ROC curve. The ROC curve for the models in Tables 4 and 5 are depicted in S4.1 and S4.2</w:t>
      </w:r>
      <w:r w:rsidR="00CC2359">
        <w:rPr>
          <w:rFonts w:cstheme="minorHAnsi"/>
          <w:lang w:val="en-US"/>
        </w:rPr>
        <w:t xml:space="preserve"> </w:t>
      </w:r>
      <w:r w:rsidR="00CC2359" w:rsidRPr="00DD157A">
        <w:rPr>
          <w:rFonts w:cstheme="minorHAnsi"/>
          <w:lang w:val="en-US"/>
        </w:rPr>
        <w:t>Fig</w:t>
      </w:r>
      <w:r w:rsidR="00CC2359">
        <w:rPr>
          <w:rFonts w:cstheme="minorHAnsi"/>
          <w:lang w:val="en-US"/>
        </w:rPr>
        <w:t>s</w:t>
      </w:r>
      <w:r w:rsidRPr="00DD157A">
        <w:rPr>
          <w:rFonts w:cstheme="minorHAnsi"/>
          <w:lang w:val="en-US"/>
        </w:rPr>
        <w:t>, together with the estimate of the area under the curve. The area under the curve provides us with information on the accuracy of the predictions. In general, values in the range between 0.7 and 0.8 are considered acceptable</w:t>
      </w:r>
      <w:r>
        <w:rPr>
          <w:rFonts w:cstheme="minorHAnsi"/>
          <w:lang w:val="en-US"/>
        </w:rPr>
        <w:t xml:space="preserve"> [44</w:t>
      </w:r>
      <w:r w:rsidR="00DB1B36">
        <w:rPr>
          <w:rFonts w:cstheme="minorHAnsi"/>
          <w:lang w:val="en-US"/>
        </w:rPr>
        <w:t>,</w:t>
      </w:r>
      <w:r>
        <w:rPr>
          <w:rFonts w:cstheme="minorHAnsi"/>
          <w:lang w:val="en-US"/>
        </w:rPr>
        <w:t xml:space="preserve"> 45]</w:t>
      </w:r>
      <w:r w:rsidRPr="00DD157A">
        <w:rPr>
          <w:rFonts w:cstheme="minorHAnsi"/>
          <w:lang w:val="en-US"/>
        </w:rPr>
        <w:t xml:space="preserve">. </w:t>
      </w:r>
      <w:r w:rsidRPr="00DD157A">
        <w:rPr>
          <w:rFonts w:cstheme="minorHAnsi"/>
          <w:lang w:val="en-US"/>
        </w:rPr>
        <w:lastRenderedPageBreak/>
        <w:t xml:space="preserve">For the logit model explaining the individuals’ willingness to get vaccinated, the area under the curve is equal to 0.72. For the model explaining individuals’ attitudes towards obligatory vaccination is the area is 0.69. Thus, we conclude that the accuracy of our models is acceptable. </w:t>
      </w:r>
    </w:p>
    <w:p w14:paraId="1C0FB6FB" w14:textId="77777777" w:rsidR="00164C9C" w:rsidRDefault="00164C9C" w:rsidP="00BE51D2">
      <w:pPr>
        <w:spacing w:line="276" w:lineRule="auto"/>
        <w:jc w:val="both"/>
        <w:rPr>
          <w:rFonts w:cstheme="minorHAnsi"/>
          <w:lang w:val="en-US"/>
        </w:rPr>
      </w:pPr>
    </w:p>
    <w:p w14:paraId="21EB72B5" w14:textId="3261D0B7" w:rsidR="0046666B" w:rsidRPr="00DD157A" w:rsidRDefault="0046666B" w:rsidP="00BE51D2">
      <w:pPr>
        <w:spacing w:line="276" w:lineRule="auto"/>
        <w:jc w:val="both"/>
        <w:rPr>
          <w:rFonts w:asciiTheme="majorHAnsi" w:eastAsiaTheme="majorEastAsia" w:hAnsiTheme="majorHAnsi" w:cstheme="majorBidi"/>
          <w:color w:val="2E74B5" w:themeColor="accent1" w:themeShade="BF"/>
          <w:lang w:val="en-US"/>
        </w:rPr>
      </w:pPr>
      <w:r>
        <w:rPr>
          <w:b/>
          <w:bCs/>
          <w:lang w:val="en-US"/>
        </w:rPr>
        <w:t>S4.</w:t>
      </w:r>
      <w:r w:rsidRPr="00B562E5">
        <w:rPr>
          <w:b/>
          <w:bCs/>
          <w:lang w:val="en-US"/>
        </w:rPr>
        <w:t>1</w:t>
      </w:r>
      <w:r w:rsidR="000F5F0B">
        <w:rPr>
          <w:b/>
          <w:bCs/>
          <w:lang w:val="en-US"/>
        </w:rPr>
        <w:t xml:space="preserve"> </w:t>
      </w:r>
      <w:r w:rsidR="000F5F0B" w:rsidRPr="00B562E5">
        <w:rPr>
          <w:b/>
          <w:bCs/>
          <w:lang w:val="en-US"/>
        </w:rPr>
        <w:t>Fig</w:t>
      </w:r>
      <w:r>
        <w:rPr>
          <w:lang w:val="en-US"/>
        </w:rPr>
        <w:t>: Receiver operator curve of the Logit model for the willingness to get vaccinated</w:t>
      </w:r>
    </w:p>
    <w:p w14:paraId="609C5415" w14:textId="77777777" w:rsidR="00BE51D2" w:rsidRDefault="00BE51D2" w:rsidP="00BE51D2">
      <w:pPr>
        <w:rPr>
          <w:lang w:val="en-US"/>
        </w:rPr>
      </w:pPr>
      <w:r>
        <w:rPr>
          <w:noProof/>
          <w:lang w:eastAsia="de-DE"/>
        </w:rPr>
        <w:drawing>
          <wp:inline distT="0" distB="0" distL="0" distR="0" wp14:anchorId="65E7AF17" wp14:editId="0434E21F">
            <wp:extent cx="4011386" cy="2917371"/>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781" cy="2983840"/>
                    </a:xfrm>
                    <a:prstGeom prst="rect">
                      <a:avLst/>
                    </a:prstGeom>
                    <a:noFill/>
                    <a:ln>
                      <a:noFill/>
                    </a:ln>
                  </pic:spPr>
                </pic:pic>
              </a:graphicData>
            </a:graphic>
          </wp:inline>
        </w:drawing>
      </w:r>
    </w:p>
    <w:p w14:paraId="68528AA9" w14:textId="4127A775" w:rsidR="00BE51D2" w:rsidRDefault="00BE51D2" w:rsidP="00BE51D2">
      <w:pPr>
        <w:rPr>
          <w:rFonts w:cstheme="minorHAnsi"/>
          <w:sz w:val="20"/>
          <w:szCs w:val="20"/>
          <w:lang w:val="en-GB"/>
        </w:rPr>
      </w:pPr>
      <w:r w:rsidRPr="00706F72">
        <w:rPr>
          <w:rFonts w:cstheme="minorHAnsi"/>
          <w:i/>
          <w:sz w:val="20"/>
          <w:szCs w:val="20"/>
          <w:lang w:val="en-GB"/>
        </w:rPr>
        <w:t>Note.</w:t>
      </w:r>
      <w:r w:rsidRPr="00706F72">
        <w:rPr>
          <w:rFonts w:cstheme="minorHAnsi"/>
          <w:sz w:val="20"/>
          <w:szCs w:val="20"/>
          <w:lang w:val="en-GB"/>
        </w:rPr>
        <w:t xml:space="preserve"> Data from SOEP and SOEP-CoV. </w:t>
      </w:r>
      <w:r>
        <w:rPr>
          <w:rFonts w:cstheme="minorHAnsi"/>
          <w:sz w:val="20"/>
          <w:szCs w:val="20"/>
          <w:lang w:val="en-GB"/>
        </w:rPr>
        <w:t>Fig 1 displays each combination of 1-specificity (false positive rate) and sensitivity (true positive rate) for each potential cut-off for predictions based on the model in Table 4.</w:t>
      </w:r>
    </w:p>
    <w:p w14:paraId="419E57DA" w14:textId="77777777" w:rsidR="0046666B" w:rsidRDefault="0046666B" w:rsidP="00BE51D2">
      <w:pPr>
        <w:rPr>
          <w:rFonts w:cstheme="minorHAnsi"/>
          <w:sz w:val="20"/>
          <w:szCs w:val="20"/>
          <w:lang w:val="en-GB"/>
        </w:rPr>
      </w:pPr>
    </w:p>
    <w:p w14:paraId="729D1398" w14:textId="12F50B25" w:rsidR="00BE51D2" w:rsidRDefault="00BE51D2" w:rsidP="00BE51D2">
      <w:pPr>
        <w:rPr>
          <w:lang w:val="en-US"/>
        </w:rPr>
      </w:pPr>
      <w:r>
        <w:rPr>
          <w:b/>
          <w:bCs/>
          <w:lang w:val="en-US"/>
        </w:rPr>
        <w:t>S4.</w:t>
      </w:r>
      <w:r w:rsidR="0046666B">
        <w:rPr>
          <w:b/>
          <w:bCs/>
          <w:lang w:val="en-US"/>
        </w:rPr>
        <w:t>2</w:t>
      </w:r>
      <w:r w:rsidR="00347E0B">
        <w:rPr>
          <w:b/>
          <w:bCs/>
          <w:lang w:val="en-US"/>
        </w:rPr>
        <w:t xml:space="preserve"> </w:t>
      </w:r>
      <w:r w:rsidR="00347E0B" w:rsidRPr="00B562E5">
        <w:rPr>
          <w:b/>
          <w:bCs/>
          <w:lang w:val="en-US"/>
        </w:rPr>
        <w:t>Fig</w:t>
      </w:r>
      <w:r>
        <w:rPr>
          <w:lang w:val="en-US"/>
        </w:rPr>
        <w:t xml:space="preserve">: Receiver operator curve of the Logit model </w:t>
      </w:r>
      <w:r w:rsidR="0046666B">
        <w:rPr>
          <w:lang w:val="en-US"/>
        </w:rPr>
        <w:t xml:space="preserve">for </w:t>
      </w:r>
      <w:r w:rsidR="0046666B">
        <w:rPr>
          <w:rFonts w:cstheme="minorHAnsi"/>
          <w:bCs/>
          <w:lang w:val="en-GB"/>
        </w:rPr>
        <w:t xml:space="preserve">attitudes toward mandatory </w:t>
      </w:r>
      <w:r w:rsidR="0046666B" w:rsidRPr="00C31989">
        <w:rPr>
          <w:rFonts w:cstheme="minorHAnsi"/>
          <w:bCs/>
          <w:lang w:val="en-GB"/>
        </w:rPr>
        <w:t>vaccinations</w:t>
      </w:r>
      <w:r w:rsidR="0046666B">
        <w:rPr>
          <w:noProof/>
          <w:lang w:eastAsia="de-DE"/>
        </w:rPr>
        <w:t xml:space="preserve"> </w:t>
      </w:r>
      <w:r>
        <w:rPr>
          <w:noProof/>
          <w:lang w:eastAsia="de-DE"/>
        </w:rPr>
        <w:drawing>
          <wp:inline distT="0" distB="0" distL="0" distR="0" wp14:anchorId="7BD36DCA" wp14:editId="7927D6DD">
            <wp:extent cx="4089226" cy="2977243"/>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137387" cy="3012307"/>
                    </a:xfrm>
                    <a:prstGeom prst="rect">
                      <a:avLst/>
                    </a:prstGeom>
                    <a:noFill/>
                    <a:ln>
                      <a:noFill/>
                    </a:ln>
                  </pic:spPr>
                </pic:pic>
              </a:graphicData>
            </a:graphic>
          </wp:inline>
        </w:drawing>
      </w:r>
    </w:p>
    <w:p w14:paraId="0F05A06A" w14:textId="250842DE" w:rsidR="00BE51D2" w:rsidRDefault="00BE51D2" w:rsidP="00BE51D2">
      <w:pPr>
        <w:rPr>
          <w:rFonts w:cstheme="minorHAnsi"/>
          <w:sz w:val="20"/>
          <w:szCs w:val="20"/>
          <w:lang w:val="en-GB"/>
        </w:rPr>
      </w:pPr>
      <w:r w:rsidRPr="00706F72">
        <w:rPr>
          <w:rFonts w:cstheme="minorHAnsi"/>
          <w:i/>
          <w:sz w:val="20"/>
          <w:szCs w:val="20"/>
          <w:lang w:val="en-GB"/>
        </w:rPr>
        <w:t>Note.</w:t>
      </w:r>
      <w:r w:rsidRPr="00706F72">
        <w:rPr>
          <w:rFonts w:cstheme="minorHAnsi"/>
          <w:sz w:val="20"/>
          <w:szCs w:val="20"/>
          <w:lang w:val="en-GB"/>
        </w:rPr>
        <w:t xml:space="preserve"> Data from SOEP and SOEP-CoV. </w:t>
      </w:r>
      <w:r>
        <w:rPr>
          <w:rFonts w:cstheme="minorHAnsi"/>
          <w:sz w:val="20"/>
          <w:szCs w:val="20"/>
          <w:lang w:val="en-GB"/>
        </w:rPr>
        <w:t>Fig S2.2 displays each combination of 1-specificity (false positive rate) and sensitivity (true positive rate) for each potential cut-off for predictions based on the model in Table 5.</w:t>
      </w:r>
      <w:bookmarkEnd w:id="0"/>
    </w:p>
    <w:p w14:paraId="7EE19060" w14:textId="2E6CADFC" w:rsidR="00681887" w:rsidRDefault="00681887" w:rsidP="00BE51D2">
      <w:pPr>
        <w:rPr>
          <w:rFonts w:cstheme="minorHAnsi"/>
          <w:sz w:val="20"/>
          <w:szCs w:val="20"/>
          <w:lang w:val="en-GB"/>
        </w:rPr>
      </w:pPr>
    </w:p>
    <w:p w14:paraId="3E9DAAE2" w14:textId="77777777" w:rsidR="00681887" w:rsidRPr="006E5832" w:rsidRDefault="00681887" w:rsidP="00681887">
      <w:pPr>
        <w:autoSpaceDE w:val="0"/>
        <w:autoSpaceDN w:val="0"/>
        <w:adjustRightInd w:val="0"/>
        <w:spacing w:after="0" w:line="360" w:lineRule="auto"/>
        <w:jc w:val="both"/>
        <w:rPr>
          <w:rStyle w:val="Hyperlink"/>
          <w:rFonts w:cstheme="minorHAnsi"/>
          <w:lang w:val="en-US"/>
        </w:rPr>
      </w:pPr>
      <w:r w:rsidRPr="006E5832">
        <w:rPr>
          <w:lang w:val="en-US"/>
        </w:rPr>
        <w:lastRenderedPageBreak/>
        <w:t>[44] Mandrekar J. Receiver Operating Characteristic Curve in Diagnostic Test Assessment. Journal of Thoracic Oncology. 2020; (5)9: 1315-1316.</w:t>
      </w:r>
      <w:r w:rsidRPr="006E5832">
        <w:rPr>
          <w:rStyle w:val="Hyperlink"/>
          <w:rFonts w:cstheme="minorHAnsi"/>
          <w:lang w:val="en-US"/>
        </w:rPr>
        <w:t xml:space="preserve"> </w:t>
      </w:r>
      <w:r w:rsidRPr="009D203B">
        <w:t>https://doi.org/10.1097/JTO.0b013e3181ec173d</w:t>
      </w:r>
      <w:r>
        <w:t>.</w:t>
      </w:r>
    </w:p>
    <w:p w14:paraId="41B17718" w14:textId="77777777" w:rsidR="00681887" w:rsidRPr="006E5832" w:rsidRDefault="00681887" w:rsidP="00681887">
      <w:pPr>
        <w:spacing w:after="0" w:line="360" w:lineRule="auto"/>
        <w:jc w:val="both"/>
        <w:rPr>
          <w:rStyle w:val="Hyperlink"/>
          <w:lang w:val="en-US"/>
        </w:rPr>
      </w:pPr>
      <w:r w:rsidRPr="006E5832">
        <w:rPr>
          <w:rStyle w:val="authors"/>
          <w:lang w:val="en-US"/>
        </w:rPr>
        <w:t xml:space="preserve">[45] Stine R. </w:t>
      </w:r>
      <w:r w:rsidRPr="006E5832">
        <w:rPr>
          <w:rStyle w:val="arttitle"/>
          <w:lang w:val="en-US"/>
        </w:rPr>
        <w:t>Graphical Interpretation of Variance Inflation Factors.</w:t>
      </w:r>
      <w:r w:rsidRPr="006E5832">
        <w:rPr>
          <w:lang w:val="en-US"/>
        </w:rPr>
        <w:t xml:space="preserve"> </w:t>
      </w:r>
      <w:r w:rsidRPr="003C513D">
        <w:rPr>
          <w:rStyle w:val="serialtitle"/>
          <w:iCs/>
          <w:lang w:val="en-US"/>
        </w:rPr>
        <w:t>The American Statistician</w:t>
      </w:r>
      <w:r w:rsidRPr="003C513D">
        <w:rPr>
          <w:rStyle w:val="serialtitle"/>
          <w:lang w:val="en-US"/>
        </w:rPr>
        <w:t>. 1995;</w:t>
      </w:r>
      <w:r w:rsidRPr="003C513D">
        <w:rPr>
          <w:lang w:val="en-US"/>
        </w:rPr>
        <w:t xml:space="preserve"> </w:t>
      </w:r>
      <w:r w:rsidRPr="003C513D">
        <w:rPr>
          <w:rStyle w:val="volumeissue"/>
          <w:lang w:val="en-US"/>
        </w:rPr>
        <w:t>49(1):</w:t>
      </w:r>
      <w:r w:rsidRPr="003C513D">
        <w:rPr>
          <w:lang w:val="en-US"/>
        </w:rPr>
        <w:t xml:space="preserve"> </w:t>
      </w:r>
      <w:r w:rsidRPr="006E5832">
        <w:rPr>
          <w:rStyle w:val="pagerange"/>
          <w:lang w:val="en-US"/>
        </w:rPr>
        <w:t>53-56.</w:t>
      </w:r>
      <w:r w:rsidRPr="003C513D">
        <w:rPr>
          <w:lang w:val="en-US"/>
        </w:rPr>
        <w:t xml:space="preserve"> </w:t>
      </w:r>
      <w:r w:rsidRPr="009D203B">
        <w:t>http://doi.org/10.1080/00031305.1995.10476113</w:t>
      </w:r>
      <w:r>
        <w:t>.</w:t>
      </w:r>
    </w:p>
    <w:p w14:paraId="1A5B60CF" w14:textId="77777777" w:rsidR="00681887" w:rsidRDefault="00681887" w:rsidP="00BE51D2">
      <w:pPr>
        <w:rPr>
          <w:rFonts w:cstheme="minorHAnsi"/>
          <w:sz w:val="20"/>
          <w:szCs w:val="20"/>
          <w:lang w:val="en-GB"/>
        </w:rPr>
      </w:pPr>
    </w:p>
    <w:sectPr w:rsidR="00681887" w:rsidSect="0049032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92B7" w14:textId="77777777" w:rsidR="00451229" w:rsidRDefault="00451229">
      <w:pPr>
        <w:spacing w:after="0" w:line="240" w:lineRule="auto"/>
      </w:pPr>
      <w:r>
        <w:separator/>
      </w:r>
    </w:p>
  </w:endnote>
  <w:endnote w:type="continuationSeparator" w:id="0">
    <w:p w14:paraId="7DFD6989" w14:textId="77777777" w:rsidR="00451229" w:rsidRDefault="0045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07476"/>
      <w:docPartObj>
        <w:docPartGallery w:val="Page Numbers (Bottom of Page)"/>
        <w:docPartUnique/>
      </w:docPartObj>
    </w:sdtPr>
    <w:sdtEndPr/>
    <w:sdtContent>
      <w:p w14:paraId="47517BF3" w14:textId="77777777" w:rsidR="00C85A0D" w:rsidRDefault="00384E74">
        <w:pPr>
          <w:pStyle w:val="Footer"/>
          <w:jc w:val="right"/>
        </w:pPr>
        <w:r>
          <w:fldChar w:fldCharType="begin"/>
        </w:r>
        <w:r>
          <w:instrText>PAGE   \* MERGEFORMAT</w:instrText>
        </w:r>
        <w:r>
          <w:fldChar w:fldCharType="separate"/>
        </w:r>
        <w:r w:rsidR="00164C9C">
          <w:rPr>
            <w:noProof/>
          </w:rPr>
          <w:t>2</w:t>
        </w:r>
        <w:r>
          <w:fldChar w:fldCharType="end"/>
        </w:r>
      </w:p>
    </w:sdtContent>
  </w:sdt>
  <w:p w14:paraId="1C0CEE79" w14:textId="77777777" w:rsidR="00C85A0D" w:rsidRDefault="00CC2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DF7D" w14:textId="77777777" w:rsidR="00451229" w:rsidRDefault="00451229">
      <w:pPr>
        <w:spacing w:after="0" w:line="240" w:lineRule="auto"/>
      </w:pPr>
      <w:r>
        <w:separator/>
      </w:r>
    </w:p>
  </w:footnote>
  <w:footnote w:type="continuationSeparator" w:id="0">
    <w:p w14:paraId="03CA5F85" w14:textId="77777777" w:rsidR="00451229" w:rsidRDefault="00451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D2"/>
    <w:rsid w:val="0000107B"/>
    <w:rsid w:val="000F5F0B"/>
    <w:rsid w:val="00110C83"/>
    <w:rsid w:val="00164C9C"/>
    <w:rsid w:val="00347E0B"/>
    <w:rsid w:val="00384E74"/>
    <w:rsid w:val="00451229"/>
    <w:rsid w:val="0046666B"/>
    <w:rsid w:val="004D66C8"/>
    <w:rsid w:val="00681887"/>
    <w:rsid w:val="00877C82"/>
    <w:rsid w:val="00884F70"/>
    <w:rsid w:val="009E05CD"/>
    <w:rsid w:val="00A75179"/>
    <w:rsid w:val="00A75341"/>
    <w:rsid w:val="00B87CC6"/>
    <w:rsid w:val="00BE51D2"/>
    <w:rsid w:val="00C516D8"/>
    <w:rsid w:val="00CC2359"/>
    <w:rsid w:val="00D84682"/>
    <w:rsid w:val="00DB1B36"/>
    <w:rsid w:val="00F932EE"/>
    <w:rsid w:val="00FF4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B34F"/>
  <w15:chartTrackingRefBased/>
  <w15:docId w15:val="{25375799-A9D8-4F92-888B-56F33AAC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1D2"/>
  </w:style>
  <w:style w:type="paragraph" w:styleId="Heading1">
    <w:name w:val="heading 1"/>
    <w:basedOn w:val="Normal"/>
    <w:next w:val="Normal"/>
    <w:link w:val="Heading1Char"/>
    <w:uiPriority w:val="9"/>
    <w:qFormat/>
    <w:rsid w:val="00BE5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1D2"/>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BE51D2"/>
    <w:pPr>
      <w:tabs>
        <w:tab w:val="center" w:pos="4703"/>
        <w:tab w:val="right" w:pos="9406"/>
      </w:tabs>
      <w:spacing w:after="0" w:line="240" w:lineRule="auto"/>
    </w:pPr>
  </w:style>
  <w:style w:type="character" w:customStyle="1" w:styleId="FooterChar">
    <w:name w:val="Footer Char"/>
    <w:basedOn w:val="DefaultParagraphFont"/>
    <w:link w:val="Footer"/>
    <w:uiPriority w:val="99"/>
    <w:rsid w:val="00BE51D2"/>
  </w:style>
  <w:style w:type="character" w:styleId="Hyperlink">
    <w:name w:val="Hyperlink"/>
    <w:basedOn w:val="DefaultParagraphFont"/>
    <w:uiPriority w:val="99"/>
    <w:unhideWhenUsed/>
    <w:rsid w:val="00681887"/>
    <w:rPr>
      <w:color w:val="0563C1" w:themeColor="hyperlink"/>
      <w:u w:val="single"/>
    </w:rPr>
  </w:style>
  <w:style w:type="character" w:customStyle="1" w:styleId="authors">
    <w:name w:val="authors"/>
    <w:basedOn w:val="DefaultParagraphFont"/>
    <w:rsid w:val="00681887"/>
  </w:style>
  <w:style w:type="character" w:customStyle="1" w:styleId="arttitle">
    <w:name w:val="art_title"/>
    <w:basedOn w:val="DefaultParagraphFont"/>
    <w:rsid w:val="00681887"/>
  </w:style>
  <w:style w:type="character" w:customStyle="1" w:styleId="serialtitle">
    <w:name w:val="serial_title"/>
    <w:basedOn w:val="DefaultParagraphFont"/>
    <w:rsid w:val="00681887"/>
  </w:style>
  <w:style w:type="character" w:customStyle="1" w:styleId="volumeissue">
    <w:name w:val="volume_issue"/>
    <w:basedOn w:val="DefaultParagraphFont"/>
    <w:rsid w:val="00681887"/>
  </w:style>
  <w:style w:type="character" w:customStyle="1" w:styleId="pagerange">
    <w:name w:val="page_range"/>
    <w:basedOn w:val="DefaultParagraphFont"/>
    <w:rsid w:val="0068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Schmidt-Petri</dc:creator>
  <cp:keywords/>
  <dc:description/>
  <cp:lastModifiedBy>chn off29</cp:lastModifiedBy>
  <cp:revision>18</cp:revision>
  <dcterms:created xsi:type="dcterms:W3CDTF">2021-03-02T14:56:00Z</dcterms:created>
  <dcterms:modified xsi:type="dcterms:W3CDTF">2021-05-03T13:21:00Z</dcterms:modified>
</cp:coreProperties>
</file>