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E8" w:rsidRDefault="00D706E8" w:rsidP="00D706E8">
      <w:pPr>
        <w:pStyle w:val="Caption"/>
        <w:keepNext/>
      </w:pPr>
    </w:p>
    <w:tbl>
      <w:tblPr>
        <w:tblpPr w:leftFromText="180" w:rightFromText="180" w:vertAnchor="page" w:horzAnchor="margin" w:tblpY="1801"/>
        <w:tblW w:w="9265" w:type="dxa"/>
        <w:tblLook w:val="04A0" w:firstRow="1" w:lastRow="0" w:firstColumn="1" w:lastColumn="0" w:noHBand="0" w:noVBand="1"/>
      </w:tblPr>
      <w:tblGrid>
        <w:gridCol w:w="2155"/>
        <w:gridCol w:w="2520"/>
        <w:gridCol w:w="2340"/>
        <w:gridCol w:w="2250"/>
      </w:tblGrid>
      <w:tr w:rsidR="00D706E8" w:rsidRPr="00D706E8" w:rsidTr="009B31CD">
        <w:trPr>
          <w:trHeight w:val="765"/>
        </w:trPr>
        <w:tc>
          <w:tcPr>
            <w:tcW w:w="9265" w:type="dxa"/>
            <w:gridSpan w:val="4"/>
            <w:shd w:val="clear" w:color="000000" w:fill="FFFFFF"/>
            <w:vAlign w:val="center"/>
          </w:tcPr>
          <w:p w:rsidR="00D706E8" w:rsidRPr="00D706E8" w:rsidRDefault="00D706E8" w:rsidP="00A01D51">
            <w:pPr>
              <w:spacing w:after="0" w:line="240" w:lineRule="auto"/>
              <w:ind w:left="-18"/>
              <w:rPr>
                <w:rFonts w:ascii="Times New Roman" w:hAnsi="Times New Roman"/>
                <w:color w:val="000000"/>
                <w:sz w:val="20"/>
                <w:szCs w:val="20"/>
              </w:rPr>
            </w:pPr>
            <w:r w:rsidRPr="001673F3">
              <w:rPr>
                <w:rFonts w:ascii="Times New Roman" w:hAnsi="Times New Roman"/>
                <w:sz w:val="20"/>
                <w:szCs w:val="20"/>
              </w:rPr>
              <w:t>S</w:t>
            </w:r>
            <w:r>
              <w:rPr>
                <w:rFonts w:ascii="Times New Roman" w:hAnsi="Times New Roman"/>
                <w:sz w:val="20"/>
                <w:szCs w:val="20"/>
              </w:rPr>
              <w:t xml:space="preserve">1 </w:t>
            </w:r>
            <w:r w:rsidRPr="001673F3">
              <w:rPr>
                <w:rFonts w:ascii="Times New Roman" w:hAnsi="Times New Roman"/>
                <w:sz w:val="20"/>
                <w:szCs w:val="20"/>
              </w:rPr>
              <w:t xml:space="preserve">Table: </w:t>
            </w:r>
            <w:proofErr w:type="spellStart"/>
            <w:r>
              <w:rPr>
                <w:rFonts w:ascii="Times New Roman" w:eastAsia="Times New Roman" w:hAnsi="Times New Roman"/>
                <w:sz w:val="20"/>
                <w:szCs w:val="20"/>
              </w:rPr>
              <w:t>C</w:t>
            </w:r>
            <w:r w:rsidRPr="001673F3">
              <w:rPr>
                <w:rFonts w:ascii="Times New Roman" w:eastAsia="Times New Roman" w:hAnsi="Times New Roman"/>
                <w:sz w:val="20"/>
                <w:szCs w:val="20"/>
              </w:rPr>
              <w:t>ardiometabolic</w:t>
            </w:r>
            <w:proofErr w:type="spellEnd"/>
            <w:r w:rsidRPr="001673F3">
              <w:rPr>
                <w:rFonts w:ascii="Times New Roman" w:eastAsia="Times New Roman" w:hAnsi="Times New Roman"/>
                <w:sz w:val="20"/>
                <w:szCs w:val="20"/>
              </w:rPr>
              <w:t xml:space="preserve"> deaths</w:t>
            </w:r>
            <w:r w:rsidRPr="0045609E">
              <w:rPr>
                <w:rFonts w:ascii="Times New Roman" w:hAnsi="Times New Roman"/>
                <w:color w:val="000000"/>
                <w:sz w:val="20"/>
                <w:szCs w:val="20"/>
                <w:vertAlign w:val="superscript"/>
              </w:rPr>
              <w:t>1</w:t>
            </w:r>
            <w:bookmarkStart w:id="0" w:name="_GoBack"/>
            <w:bookmarkEnd w:id="0"/>
            <w:r w:rsidRPr="001673F3">
              <w:rPr>
                <w:rFonts w:ascii="Times New Roman" w:eastAsia="Times New Roman" w:hAnsi="Times New Roman"/>
                <w:sz w:val="20"/>
                <w:szCs w:val="20"/>
              </w:rPr>
              <w:t xml:space="preserve"> (95% uncertainty intervals) attributable to suboptimal risk factors in Brazil in</w:t>
            </w:r>
            <w:r>
              <w:rPr>
                <w:rFonts w:ascii="Times New Roman" w:eastAsia="Times New Roman" w:hAnsi="Times New Roman"/>
                <w:sz w:val="20"/>
                <w:szCs w:val="20"/>
              </w:rPr>
              <w:t xml:space="preserve"> </w:t>
            </w:r>
            <w:r w:rsidRPr="001673F3">
              <w:rPr>
                <w:rFonts w:ascii="Times New Roman" w:eastAsia="Times New Roman" w:hAnsi="Times New Roman"/>
                <w:sz w:val="20"/>
                <w:szCs w:val="20"/>
              </w:rPr>
              <w:t>2010, estimated using lower reference levels</w:t>
            </w:r>
          </w:p>
        </w:tc>
      </w:tr>
      <w:tr w:rsidR="00D706E8" w:rsidRPr="00D706E8" w:rsidTr="00E90FFF">
        <w:trPr>
          <w:trHeight w:val="765"/>
        </w:trPr>
        <w:tc>
          <w:tcPr>
            <w:tcW w:w="2155" w:type="dxa"/>
            <w:tcBorders>
              <w:top w:val="single" w:sz="4" w:space="0" w:color="auto"/>
            </w:tcBorders>
            <w:shd w:val="clear" w:color="000000" w:fill="FFFFFF"/>
            <w:vAlign w:val="center"/>
          </w:tcPr>
          <w:p w:rsidR="00D706E8" w:rsidRPr="00D706E8" w:rsidRDefault="00D706E8" w:rsidP="00A01D51">
            <w:pPr>
              <w:spacing w:after="0" w:line="240" w:lineRule="auto"/>
              <w:ind w:left="-18" w:firstLineChars="9" w:firstLine="18"/>
              <w:rPr>
                <w:rFonts w:ascii="Times New Roman" w:eastAsia="Times New Roman" w:hAnsi="Times New Roman"/>
                <w:b/>
                <w:bCs/>
                <w:color w:val="000000"/>
                <w:sz w:val="20"/>
                <w:szCs w:val="20"/>
              </w:rPr>
            </w:pPr>
            <w:proofErr w:type="spellStart"/>
            <w:r w:rsidRPr="00D706E8">
              <w:rPr>
                <w:rFonts w:ascii="Times New Roman" w:hAnsi="Times New Roman"/>
                <w:color w:val="000000"/>
                <w:sz w:val="20"/>
                <w:szCs w:val="20"/>
              </w:rPr>
              <w:t>Cardiometabolic</w:t>
            </w:r>
            <w:proofErr w:type="spellEnd"/>
            <w:r w:rsidRPr="00D706E8">
              <w:rPr>
                <w:rFonts w:ascii="Times New Roman" w:hAnsi="Times New Roman"/>
                <w:color w:val="000000"/>
                <w:sz w:val="20"/>
                <w:szCs w:val="20"/>
              </w:rPr>
              <w:t xml:space="preserve"> (CMD) deaths</w:t>
            </w:r>
            <w:r w:rsidRPr="00D706E8">
              <w:rPr>
                <w:rFonts w:ascii="Times New Roman" w:hAnsi="Times New Roman"/>
                <w:color w:val="000000"/>
                <w:sz w:val="20"/>
                <w:szCs w:val="20"/>
                <w:vertAlign w:val="superscript"/>
              </w:rPr>
              <w:t>2</w:t>
            </w:r>
          </w:p>
        </w:tc>
        <w:tc>
          <w:tcPr>
            <w:tcW w:w="2520" w:type="dxa"/>
            <w:tcBorders>
              <w:top w:val="single" w:sz="4" w:space="0" w:color="auto"/>
            </w:tcBorders>
            <w:shd w:val="clear" w:color="000000" w:fill="FFFFFF"/>
            <w:vAlign w:val="center"/>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hAnsi="Times New Roman"/>
                <w:color w:val="000000"/>
                <w:sz w:val="20"/>
                <w:szCs w:val="20"/>
              </w:rPr>
              <w:t>Total</w:t>
            </w:r>
          </w:p>
        </w:tc>
        <w:tc>
          <w:tcPr>
            <w:tcW w:w="2340" w:type="dxa"/>
            <w:tcBorders>
              <w:top w:val="single" w:sz="4" w:space="0" w:color="auto"/>
            </w:tcBorders>
            <w:shd w:val="clear" w:color="000000" w:fill="FFFFFF"/>
            <w:noWrap/>
            <w:vAlign w:val="center"/>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hAnsi="Times New Roman"/>
                <w:color w:val="000000"/>
                <w:sz w:val="20"/>
                <w:szCs w:val="20"/>
              </w:rPr>
              <w:t>Men</w:t>
            </w:r>
          </w:p>
        </w:tc>
        <w:tc>
          <w:tcPr>
            <w:tcW w:w="2250" w:type="dxa"/>
            <w:tcBorders>
              <w:top w:val="single" w:sz="4" w:space="0" w:color="auto"/>
            </w:tcBorders>
            <w:shd w:val="clear" w:color="000000" w:fill="FFFFFF"/>
            <w:noWrap/>
            <w:vAlign w:val="center"/>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hAnsi="Times New Roman"/>
                <w:color w:val="000000"/>
                <w:sz w:val="20"/>
                <w:szCs w:val="20"/>
              </w:rPr>
              <w:t>Women</w:t>
            </w:r>
          </w:p>
        </w:tc>
      </w:tr>
      <w:tr w:rsidR="00D706E8" w:rsidRPr="00D706E8" w:rsidTr="00E90FFF">
        <w:trPr>
          <w:trHeight w:val="765"/>
        </w:trPr>
        <w:tc>
          <w:tcPr>
            <w:tcW w:w="2155" w:type="dxa"/>
            <w:tcBorders>
              <w:top w:val="single" w:sz="4" w:space="0" w:color="auto"/>
            </w:tcBorders>
            <w:shd w:val="clear" w:color="000000" w:fill="FFFFFF"/>
            <w:vAlign w:val="center"/>
            <w:hideMark/>
          </w:tcPr>
          <w:p w:rsidR="00D706E8" w:rsidRPr="00D706E8" w:rsidRDefault="00D706E8" w:rsidP="00D706E8">
            <w:pPr>
              <w:spacing w:after="0" w:line="240" w:lineRule="auto"/>
              <w:ind w:left="-18" w:firstLineChars="9" w:firstLine="18"/>
              <w:rPr>
                <w:rFonts w:ascii="Times New Roman" w:eastAsia="Times New Roman" w:hAnsi="Times New Roman"/>
                <w:sz w:val="20"/>
                <w:szCs w:val="20"/>
              </w:rPr>
            </w:pPr>
            <w:r w:rsidRPr="00D706E8">
              <w:rPr>
                <w:rFonts w:ascii="Times New Roman" w:eastAsia="Times New Roman" w:hAnsi="Times New Roman"/>
                <w:b/>
                <w:bCs/>
                <w:color w:val="000000"/>
                <w:sz w:val="20"/>
                <w:szCs w:val="20"/>
              </w:rPr>
              <w:t>High systolic blood pressure</w:t>
            </w:r>
            <w:r w:rsidRPr="00D706E8">
              <w:rPr>
                <w:rFonts w:ascii="Times New Roman" w:eastAsia="Times New Roman" w:hAnsi="Times New Roman"/>
                <w:color w:val="000000"/>
                <w:sz w:val="20"/>
                <w:szCs w:val="20"/>
              </w:rPr>
              <w:t xml:space="preserve"> (&gt;120 mmHg)</w:t>
            </w:r>
          </w:p>
        </w:tc>
        <w:tc>
          <w:tcPr>
            <w:tcW w:w="2520" w:type="dxa"/>
            <w:tcBorders>
              <w:top w:val="single" w:sz="4" w:space="0" w:color="auto"/>
            </w:tcBorders>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color w:val="FF0000"/>
                <w:sz w:val="20"/>
                <w:szCs w:val="20"/>
              </w:rPr>
            </w:pPr>
            <w:r w:rsidRPr="00D706E8">
              <w:rPr>
                <w:rFonts w:ascii="Times New Roman" w:eastAsia="Times New Roman" w:hAnsi="Times New Roman"/>
                <w:color w:val="000000"/>
                <w:sz w:val="20"/>
                <w:szCs w:val="20"/>
              </w:rPr>
              <w:t> </w:t>
            </w:r>
          </w:p>
        </w:tc>
        <w:tc>
          <w:tcPr>
            <w:tcW w:w="2340" w:type="dxa"/>
            <w:tcBorders>
              <w:top w:val="single" w:sz="4" w:space="0" w:color="auto"/>
            </w:tcBorders>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color w:val="FF0000"/>
                <w:sz w:val="20"/>
                <w:szCs w:val="20"/>
              </w:rPr>
            </w:pPr>
            <w:r w:rsidRPr="00D706E8">
              <w:rPr>
                <w:rFonts w:ascii="Times New Roman" w:eastAsia="Times New Roman" w:hAnsi="Times New Roman"/>
                <w:color w:val="000000"/>
                <w:sz w:val="20"/>
                <w:szCs w:val="20"/>
              </w:rPr>
              <w:t> </w:t>
            </w:r>
          </w:p>
        </w:tc>
        <w:tc>
          <w:tcPr>
            <w:tcW w:w="2250" w:type="dxa"/>
            <w:tcBorders>
              <w:top w:val="single" w:sz="4" w:space="0" w:color="auto"/>
            </w:tcBorders>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color w:val="FF0000"/>
                <w:sz w:val="20"/>
                <w:szCs w:val="20"/>
              </w:rPr>
            </w:pPr>
            <w:r w:rsidRPr="00D706E8">
              <w:rPr>
                <w:rFonts w:ascii="Times New Roman" w:eastAsia="Times New Roman" w:hAnsi="Times New Roman"/>
                <w:color w:val="000000"/>
                <w:sz w:val="20"/>
                <w:szCs w:val="20"/>
              </w:rPr>
              <w:t> </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sz w:val="20"/>
                <w:szCs w:val="20"/>
              </w:rPr>
            </w:pPr>
            <w:r w:rsidRPr="00D706E8">
              <w:rPr>
                <w:rFonts w:ascii="Times New Roman" w:eastAsia="Times New Roman" w:hAnsi="Times New Roman"/>
                <w:color w:val="000000"/>
                <w:sz w:val="20"/>
                <w:szCs w:val="20"/>
              </w:rPr>
              <w:t>CMD deaths</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195394 (177111, 214507)</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111337 (99607, 124146)</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84056 (71727, 98176)</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sz w:val="20"/>
                <w:szCs w:val="20"/>
              </w:rPr>
            </w:pPr>
            <w:r w:rsidRPr="00D706E8">
              <w:rPr>
                <w:rFonts w:ascii="Times New Roman" w:eastAsia="Times New Roman" w:hAnsi="Times New Roman"/>
                <w:color w:val="000000"/>
                <w:sz w:val="20"/>
                <w:szCs w:val="20"/>
              </w:rPr>
              <w:t>Deaths per million</w:t>
            </w:r>
            <w:r w:rsidRPr="00D706E8">
              <w:rPr>
                <w:rFonts w:ascii="Times New Roman" w:eastAsia="Times New Roman" w:hAnsi="Times New Roman"/>
                <w:color w:val="000000"/>
                <w:sz w:val="20"/>
                <w:szCs w:val="20"/>
                <w:vertAlign w:val="superscript"/>
              </w:rPr>
              <w:t>3</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1748 (1584, 1919)</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2074 (1855, 2312)</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1447 (1234, 1689)</w:t>
            </w:r>
          </w:p>
        </w:tc>
      </w:tr>
      <w:tr w:rsidR="00D706E8" w:rsidRPr="00D706E8" w:rsidTr="00E90FFF">
        <w:trPr>
          <w:trHeight w:val="51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sz w:val="20"/>
                <w:szCs w:val="20"/>
              </w:rPr>
            </w:pPr>
            <w:r w:rsidRPr="00D706E8">
              <w:rPr>
                <w:rFonts w:ascii="Times New Roman" w:eastAsia="Times New Roman" w:hAnsi="Times New Roman"/>
                <w:color w:val="000000"/>
                <w:sz w:val="20"/>
                <w:szCs w:val="20"/>
              </w:rPr>
              <w:t>% total CMD deaths</w:t>
            </w:r>
            <w:r w:rsidRPr="00D706E8">
              <w:rPr>
                <w:rFonts w:ascii="Times New Roman" w:eastAsia="Times New Roman" w:hAnsi="Times New Roman"/>
                <w:color w:val="000000"/>
                <w:sz w:val="20"/>
                <w:szCs w:val="20"/>
                <w:vertAlign w:val="superscript"/>
              </w:rPr>
              <w:t>4</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43.8</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49.3</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38.1</w:t>
            </w:r>
          </w:p>
        </w:tc>
      </w:tr>
      <w:tr w:rsidR="00D706E8" w:rsidRPr="00D706E8" w:rsidTr="00E90FFF">
        <w:trPr>
          <w:trHeight w:val="510"/>
        </w:trPr>
        <w:tc>
          <w:tcPr>
            <w:tcW w:w="2155" w:type="dxa"/>
            <w:shd w:val="clear" w:color="000000" w:fill="FFFFFF"/>
            <w:vAlign w:val="center"/>
            <w:hideMark/>
          </w:tcPr>
          <w:p w:rsidR="00D706E8" w:rsidRPr="00D706E8" w:rsidRDefault="00D706E8" w:rsidP="00D706E8">
            <w:pPr>
              <w:spacing w:after="0" w:line="240" w:lineRule="auto"/>
              <w:ind w:left="-18"/>
              <w:rPr>
                <w:rFonts w:ascii="Times New Roman" w:eastAsia="Times New Roman" w:hAnsi="Times New Roman"/>
                <w:color w:val="000000"/>
                <w:sz w:val="20"/>
                <w:szCs w:val="20"/>
              </w:rPr>
            </w:pPr>
            <w:r w:rsidRPr="00D706E8">
              <w:rPr>
                <w:rFonts w:ascii="Times New Roman" w:eastAsia="Times New Roman" w:hAnsi="Times New Roman"/>
                <w:b/>
                <w:bCs/>
                <w:color w:val="000000"/>
                <w:sz w:val="20"/>
                <w:szCs w:val="20"/>
              </w:rPr>
              <w:t>High body-mass inde</w:t>
            </w:r>
            <w:r w:rsidRPr="00D706E8">
              <w:rPr>
                <w:rFonts w:ascii="Times New Roman" w:eastAsia="Times New Roman" w:hAnsi="Times New Roman"/>
                <w:color w:val="000000"/>
                <w:sz w:val="20"/>
                <w:szCs w:val="20"/>
              </w:rPr>
              <w:t>x (&gt;21 kg/m2)</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eastAsia="Times New Roman" w:hAnsi="Times New Roman"/>
                <w:sz w:val="20"/>
                <w:szCs w:val="20"/>
              </w:rPr>
              <w:t> </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r>
      <w:tr w:rsidR="00D706E8" w:rsidRPr="00D706E8" w:rsidTr="00E90FFF">
        <w:trPr>
          <w:trHeight w:val="302"/>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CMD deaths</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eastAsia="Times New Roman" w:hAnsi="Times New Roman"/>
                <w:sz w:val="20"/>
                <w:szCs w:val="20"/>
              </w:rPr>
              <w:t>102223 (94990, 110315)</w:t>
            </w:r>
          </w:p>
        </w:tc>
        <w:tc>
          <w:tcPr>
            <w:tcW w:w="234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eastAsia="Times New Roman" w:hAnsi="Times New Roman"/>
                <w:sz w:val="20"/>
                <w:szCs w:val="20"/>
              </w:rPr>
              <w:t>50379 (46087, 54549)</w:t>
            </w:r>
          </w:p>
        </w:tc>
        <w:tc>
          <w:tcPr>
            <w:tcW w:w="225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eastAsia="Times New Roman" w:hAnsi="Times New Roman"/>
                <w:sz w:val="20"/>
                <w:szCs w:val="20"/>
              </w:rPr>
              <w:t>51843 (45708, 58032)</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Deaths per million</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914 (850, 987)</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938 (858, 1016)</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892 (787, 999)</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 total CMD deaths</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22.9</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22.3</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23.5</w:t>
            </w:r>
          </w:p>
        </w:tc>
      </w:tr>
      <w:tr w:rsidR="00D706E8" w:rsidRPr="00D706E8" w:rsidTr="00E90FFF">
        <w:trPr>
          <w:trHeight w:val="510"/>
        </w:trPr>
        <w:tc>
          <w:tcPr>
            <w:tcW w:w="2155" w:type="dxa"/>
            <w:shd w:val="clear" w:color="000000" w:fill="FFFFFF"/>
            <w:vAlign w:val="center"/>
            <w:hideMark/>
          </w:tcPr>
          <w:p w:rsidR="00D706E8" w:rsidRPr="00D706E8" w:rsidRDefault="00D706E8" w:rsidP="00D706E8">
            <w:pPr>
              <w:spacing w:after="0" w:line="240" w:lineRule="auto"/>
              <w:ind w:left="-18" w:firstLineChars="9" w:firstLine="18"/>
              <w:rPr>
                <w:rFonts w:ascii="Times New Roman" w:eastAsia="Times New Roman" w:hAnsi="Times New Roman"/>
                <w:color w:val="000000"/>
                <w:sz w:val="20"/>
                <w:szCs w:val="20"/>
              </w:rPr>
            </w:pPr>
            <w:r w:rsidRPr="00D706E8">
              <w:rPr>
                <w:rFonts w:ascii="Times New Roman" w:eastAsia="Times New Roman" w:hAnsi="Times New Roman"/>
                <w:b/>
                <w:bCs/>
                <w:color w:val="000000"/>
                <w:sz w:val="20"/>
                <w:szCs w:val="20"/>
              </w:rPr>
              <w:t>High total cholesterol</w:t>
            </w:r>
            <w:r w:rsidRPr="00D706E8">
              <w:rPr>
                <w:rFonts w:ascii="Times New Roman" w:eastAsia="Times New Roman" w:hAnsi="Times New Roman"/>
                <w:color w:val="000000"/>
                <w:sz w:val="20"/>
                <w:szCs w:val="20"/>
              </w:rPr>
              <w:t xml:space="preserve"> (&gt; 3.8 </w:t>
            </w:r>
            <w:proofErr w:type="spellStart"/>
            <w:r w:rsidRPr="00D706E8">
              <w:rPr>
                <w:rFonts w:ascii="Times New Roman" w:eastAsia="Times New Roman" w:hAnsi="Times New Roman"/>
                <w:color w:val="000000"/>
                <w:sz w:val="20"/>
                <w:szCs w:val="20"/>
              </w:rPr>
              <w:t>mmol</w:t>
            </w:r>
            <w:proofErr w:type="spellEnd"/>
            <w:r w:rsidRPr="00D706E8">
              <w:rPr>
                <w:rFonts w:ascii="Times New Roman" w:eastAsia="Times New Roman" w:hAnsi="Times New Roman"/>
                <w:color w:val="000000"/>
                <w:sz w:val="20"/>
                <w:szCs w:val="20"/>
              </w:rPr>
              <w:t>/L)</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r>
      <w:tr w:rsidR="00D706E8" w:rsidRPr="00D706E8" w:rsidTr="00E90FFF">
        <w:trPr>
          <w:trHeight w:val="302"/>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CMD deaths</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56699 (41602, 77338)</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29351 (21150, 39788)</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27348 (15950, 44917)</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vertAlign w:val="superscript"/>
              </w:rPr>
            </w:pPr>
            <w:r w:rsidRPr="00D706E8">
              <w:rPr>
                <w:rFonts w:ascii="Times New Roman" w:eastAsia="Times New Roman" w:hAnsi="Times New Roman"/>
                <w:color w:val="000000"/>
                <w:sz w:val="20"/>
                <w:szCs w:val="20"/>
              </w:rPr>
              <w:t>Deaths per million</w:t>
            </w:r>
            <w:r w:rsidRPr="00D706E8">
              <w:rPr>
                <w:rFonts w:ascii="Times New Roman" w:eastAsia="Times New Roman" w:hAnsi="Times New Roman"/>
                <w:color w:val="000000"/>
                <w:sz w:val="20"/>
                <w:szCs w:val="20"/>
                <w:vertAlign w:val="superscript"/>
              </w:rPr>
              <w:t>3</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507 (372, 692)</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547 (394, 741)</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471 (274, 773)</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vertAlign w:val="superscript"/>
              </w:rPr>
            </w:pPr>
            <w:r w:rsidRPr="00D706E8">
              <w:rPr>
                <w:rFonts w:ascii="Times New Roman" w:eastAsia="Times New Roman" w:hAnsi="Times New Roman"/>
                <w:color w:val="000000"/>
                <w:sz w:val="20"/>
                <w:szCs w:val="20"/>
              </w:rPr>
              <w:t>% total CMD deaths</w:t>
            </w:r>
            <w:r w:rsidRPr="00D706E8">
              <w:rPr>
                <w:rFonts w:ascii="Times New Roman" w:eastAsia="Times New Roman" w:hAnsi="Times New Roman"/>
                <w:color w:val="000000"/>
                <w:sz w:val="20"/>
                <w:szCs w:val="20"/>
                <w:vertAlign w:val="superscript"/>
              </w:rPr>
              <w:t>4</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12.7</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13.0</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12.4</w:t>
            </w:r>
          </w:p>
        </w:tc>
      </w:tr>
      <w:tr w:rsidR="00D706E8" w:rsidRPr="00D706E8" w:rsidTr="00E90FFF">
        <w:trPr>
          <w:trHeight w:val="510"/>
        </w:trPr>
        <w:tc>
          <w:tcPr>
            <w:tcW w:w="2155" w:type="dxa"/>
            <w:shd w:val="clear" w:color="000000" w:fill="FFFFFF"/>
            <w:vAlign w:val="center"/>
            <w:hideMark/>
          </w:tcPr>
          <w:p w:rsidR="00D706E8" w:rsidRPr="00D706E8" w:rsidRDefault="00D706E8" w:rsidP="00D706E8">
            <w:pPr>
              <w:spacing w:after="0" w:line="240" w:lineRule="auto"/>
              <w:rPr>
                <w:rFonts w:ascii="Times New Roman" w:eastAsia="Times New Roman" w:hAnsi="Times New Roman"/>
                <w:color w:val="000000"/>
                <w:sz w:val="20"/>
                <w:szCs w:val="20"/>
              </w:rPr>
            </w:pPr>
            <w:r w:rsidRPr="00D706E8">
              <w:rPr>
                <w:rFonts w:ascii="Times New Roman" w:eastAsia="Times New Roman" w:hAnsi="Times New Roman"/>
                <w:b/>
                <w:bCs/>
                <w:color w:val="000000"/>
                <w:sz w:val="20"/>
                <w:szCs w:val="20"/>
              </w:rPr>
              <w:t>High fasting plasma glucose</w:t>
            </w:r>
            <w:r w:rsidRPr="00D706E8">
              <w:rPr>
                <w:rFonts w:ascii="Times New Roman" w:eastAsia="Times New Roman" w:hAnsi="Times New Roman"/>
                <w:color w:val="000000"/>
                <w:sz w:val="20"/>
                <w:szCs w:val="20"/>
              </w:rPr>
              <w:t xml:space="preserve"> ( &gt; 5.3mmol/L)</w:t>
            </w:r>
          </w:p>
        </w:tc>
        <w:tc>
          <w:tcPr>
            <w:tcW w:w="2520" w:type="dxa"/>
            <w:shd w:val="clear" w:color="000000" w:fill="FFFFFF"/>
            <w:vAlign w:val="bottom"/>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color w:val="000000"/>
                <w:sz w:val="20"/>
                <w:szCs w:val="20"/>
              </w:rPr>
              <w:t> </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 </w:t>
            </w:r>
          </w:p>
        </w:tc>
      </w:tr>
      <w:tr w:rsidR="00D706E8" w:rsidRPr="00D706E8" w:rsidTr="00E90FFF">
        <w:trPr>
          <w:trHeight w:val="302"/>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CMD deaths</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49322 (41370, 58287)</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25738 (20138, 32012)</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23585 (18211, 29780)</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Deaths per million</w:t>
            </w:r>
            <w:r w:rsidRPr="00D706E8">
              <w:rPr>
                <w:rFonts w:ascii="Times New Roman" w:eastAsia="Times New Roman" w:hAnsi="Times New Roman"/>
                <w:color w:val="000000"/>
                <w:sz w:val="20"/>
                <w:szCs w:val="20"/>
                <w:vertAlign w:val="superscript"/>
              </w:rPr>
              <w:t>3</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441 (370, 521)</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479 (375, 596)</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406 (313, 512)</w:t>
            </w:r>
          </w:p>
        </w:tc>
      </w:tr>
      <w:tr w:rsidR="00D706E8" w:rsidRPr="00D706E8" w:rsidTr="00E90FFF">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 total CMD deaths</w:t>
            </w:r>
            <w:r w:rsidRPr="00D706E8">
              <w:rPr>
                <w:rFonts w:ascii="Times New Roman" w:eastAsia="Times New Roman" w:hAnsi="Times New Roman"/>
                <w:color w:val="000000"/>
                <w:sz w:val="20"/>
                <w:szCs w:val="20"/>
                <w:vertAlign w:val="superscript"/>
              </w:rPr>
              <w:t>4</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11.1</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11.4</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sz w:val="20"/>
                <w:szCs w:val="20"/>
              </w:rPr>
              <w:t>10.7</w:t>
            </w:r>
          </w:p>
        </w:tc>
      </w:tr>
      <w:tr w:rsidR="00D706E8" w:rsidRPr="00D706E8" w:rsidTr="00E90FFF">
        <w:trPr>
          <w:trHeight w:val="510"/>
        </w:trPr>
        <w:tc>
          <w:tcPr>
            <w:tcW w:w="2155" w:type="dxa"/>
            <w:shd w:val="clear" w:color="000000" w:fill="FFFFFF"/>
            <w:vAlign w:val="center"/>
            <w:hideMark/>
          </w:tcPr>
          <w:p w:rsidR="00D706E8" w:rsidRPr="00D706E8" w:rsidRDefault="00D706E8" w:rsidP="00D706E8">
            <w:pPr>
              <w:spacing w:after="0" w:line="240" w:lineRule="auto"/>
              <w:ind w:firstLine="2"/>
              <w:rPr>
                <w:rFonts w:ascii="Times New Roman" w:eastAsia="Times New Roman" w:hAnsi="Times New Roman"/>
                <w:color w:val="000000"/>
                <w:sz w:val="20"/>
                <w:szCs w:val="20"/>
              </w:rPr>
            </w:pPr>
            <w:r w:rsidRPr="00D706E8">
              <w:rPr>
                <w:rFonts w:ascii="Times New Roman" w:eastAsia="Times New Roman" w:hAnsi="Times New Roman"/>
                <w:b/>
                <w:bCs/>
                <w:sz w:val="20"/>
                <w:szCs w:val="20"/>
              </w:rPr>
              <w:t>High intake of sodium</w:t>
            </w:r>
            <w:r w:rsidRPr="00D706E8">
              <w:rPr>
                <w:rFonts w:ascii="Times New Roman" w:eastAsia="Times New Roman" w:hAnsi="Times New Roman"/>
                <w:sz w:val="20"/>
                <w:szCs w:val="20"/>
              </w:rPr>
              <w:t xml:space="preserve"> (&gt;1000mg/day)</w:t>
            </w:r>
            <w:r w:rsidRPr="00D706E8">
              <w:rPr>
                <w:rFonts w:ascii="Times New Roman" w:eastAsia="Times New Roman" w:hAnsi="Times New Roman"/>
                <w:sz w:val="20"/>
                <w:szCs w:val="20"/>
                <w:vertAlign w:val="superscript"/>
              </w:rPr>
              <w:t>5</w:t>
            </w:r>
          </w:p>
        </w:tc>
        <w:tc>
          <w:tcPr>
            <w:tcW w:w="2520" w:type="dxa"/>
            <w:shd w:val="clear" w:color="000000" w:fill="FFFFFF"/>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color w:val="FF0000"/>
                <w:sz w:val="20"/>
                <w:szCs w:val="20"/>
              </w:rPr>
              <w:t> </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color w:val="FF0000"/>
                <w:sz w:val="20"/>
                <w:szCs w:val="20"/>
              </w:rPr>
              <w:t> </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eastAsia="Times New Roman" w:hAnsi="Times New Roman"/>
                <w:color w:val="FF0000"/>
                <w:sz w:val="20"/>
                <w:szCs w:val="20"/>
              </w:rPr>
              <w:t> </w:t>
            </w:r>
          </w:p>
        </w:tc>
      </w:tr>
      <w:tr w:rsidR="00D706E8" w:rsidRPr="00D706E8" w:rsidTr="00E90FFF">
        <w:trPr>
          <w:trHeight w:val="302"/>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sz w:val="20"/>
                <w:szCs w:val="20"/>
              </w:rPr>
              <w:t>CMD deaths</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color w:val="000000"/>
                <w:sz w:val="20"/>
                <w:szCs w:val="20"/>
              </w:rPr>
            </w:pPr>
            <w:r w:rsidRPr="00D706E8">
              <w:rPr>
                <w:rFonts w:ascii="Times New Roman" w:hAnsi="Times New Roman"/>
                <w:sz w:val="20"/>
                <w:szCs w:val="20"/>
              </w:rPr>
              <w:t>57192 (36408, 76101)</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33241 (21310, 44332)</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23951 (15384, 32777)</w:t>
            </w:r>
          </w:p>
        </w:tc>
      </w:tr>
      <w:tr w:rsidR="00D706E8" w:rsidRPr="00D706E8" w:rsidTr="001E05FB">
        <w:trPr>
          <w:trHeight w:val="300"/>
        </w:trPr>
        <w:tc>
          <w:tcPr>
            <w:tcW w:w="2155" w:type="dxa"/>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Deaths per million</w:t>
            </w:r>
            <w:r w:rsidRPr="00D706E8">
              <w:rPr>
                <w:rFonts w:ascii="Times New Roman" w:eastAsia="Times New Roman" w:hAnsi="Times New Roman"/>
                <w:color w:val="000000"/>
                <w:sz w:val="20"/>
                <w:szCs w:val="20"/>
                <w:vertAlign w:val="superscript"/>
              </w:rPr>
              <w:t>3</w:t>
            </w:r>
          </w:p>
        </w:tc>
        <w:tc>
          <w:tcPr>
            <w:tcW w:w="252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512 (326, 681)</w:t>
            </w:r>
          </w:p>
        </w:tc>
        <w:tc>
          <w:tcPr>
            <w:tcW w:w="234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619 (397, 826)</w:t>
            </w:r>
          </w:p>
        </w:tc>
        <w:tc>
          <w:tcPr>
            <w:tcW w:w="2250" w:type="dxa"/>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412 (265, 564)</w:t>
            </w:r>
          </w:p>
        </w:tc>
      </w:tr>
      <w:tr w:rsidR="00D706E8" w:rsidRPr="00D706E8" w:rsidTr="001E05FB">
        <w:trPr>
          <w:trHeight w:val="300"/>
        </w:trPr>
        <w:tc>
          <w:tcPr>
            <w:tcW w:w="2155" w:type="dxa"/>
            <w:tcBorders>
              <w:bottom w:val="single" w:sz="4" w:space="0" w:color="auto"/>
            </w:tcBorders>
            <w:shd w:val="clear" w:color="000000" w:fill="FFFFFF"/>
            <w:vAlign w:val="center"/>
            <w:hideMark/>
          </w:tcPr>
          <w:p w:rsidR="00D706E8" w:rsidRPr="00D706E8" w:rsidRDefault="00D706E8" w:rsidP="00D706E8">
            <w:pPr>
              <w:spacing w:after="0" w:line="240" w:lineRule="auto"/>
              <w:ind w:left="-199" w:firstLineChars="100" w:firstLine="200"/>
              <w:rPr>
                <w:rFonts w:ascii="Times New Roman" w:eastAsia="Times New Roman" w:hAnsi="Times New Roman"/>
                <w:color w:val="000000"/>
                <w:sz w:val="20"/>
                <w:szCs w:val="20"/>
              </w:rPr>
            </w:pPr>
            <w:r w:rsidRPr="00D706E8">
              <w:rPr>
                <w:rFonts w:ascii="Times New Roman" w:eastAsia="Times New Roman" w:hAnsi="Times New Roman"/>
                <w:color w:val="000000"/>
                <w:sz w:val="20"/>
                <w:szCs w:val="20"/>
              </w:rPr>
              <w:t>% total CMD deaths</w:t>
            </w:r>
            <w:r w:rsidRPr="00D706E8">
              <w:rPr>
                <w:rFonts w:ascii="Times New Roman" w:eastAsia="Times New Roman" w:hAnsi="Times New Roman"/>
                <w:color w:val="000000"/>
                <w:sz w:val="20"/>
                <w:szCs w:val="20"/>
                <w:vertAlign w:val="superscript"/>
              </w:rPr>
              <w:t>4</w:t>
            </w:r>
          </w:p>
        </w:tc>
        <w:tc>
          <w:tcPr>
            <w:tcW w:w="2520" w:type="dxa"/>
            <w:tcBorders>
              <w:bottom w:val="single" w:sz="4" w:space="0" w:color="auto"/>
            </w:tcBorders>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12.8</w:t>
            </w:r>
          </w:p>
        </w:tc>
        <w:tc>
          <w:tcPr>
            <w:tcW w:w="2340" w:type="dxa"/>
            <w:tcBorders>
              <w:bottom w:val="single" w:sz="4" w:space="0" w:color="auto"/>
            </w:tcBorders>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14.7</w:t>
            </w:r>
          </w:p>
        </w:tc>
        <w:tc>
          <w:tcPr>
            <w:tcW w:w="2250" w:type="dxa"/>
            <w:tcBorders>
              <w:bottom w:val="single" w:sz="4" w:space="0" w:color="auto"/>
            </w:tcBorders>
            <w:shd w:val="clear" w:color="000000" w:fill="FFFFFF"/>
            <w:noWrap/>
            <w:vAlign w:val="center"/>
            <w:hideMark/>
          </w:tcPr>
          <w:p w:rsidR="00D706E8" w:rsidRPr="00D706E8" w:rsidRDefault="00D706E8" w:rsidP="00D706E8">
            <w:pPr>
              <w:spacing w:after="0" w:line="240" w:lineRule="auto"/>
              <w:ind w:left="-199"/>
              <w:jc w:val="center"/>
              <w:rPr>
                <w:rFonts w:ascii="Times New Roman" w:eastAsia="Times New Roman" w:hAnsi="Times New Roman"/>
                <w:sz w:val="20"/>
                <w:szCs w:val="20"/>
              </w:rPr>
            </w:pPr>
            <w:r w:rsidRPr="00D706E8">
              <w:rPr>
                <w:rFonts w:ascii="Times New Roman" w:hAnsi="Times New Roman"/>
                <w:sz w:val="20"/>
                <w:szCs w:val="20"/>
              </w:rPr>
              <w:t>10.9</w:t>
            </w:r>
          </w:p>
        </w:tc>
      </w:tr>
      <w:tr w:rsidR="001E05FB" w:rsidRPr="00D706E8" w:rsidTr="001E05FB">
        <w:trPr>
          <w:trHeight w:val="300"/>
        </w:trPr>
        <w:tc>
          <w:tcPr>
            <w:tcW w:w="2155" w:type="dxa"/>
            <w:tcBorders>
              <w:top w:val="single" w:sz="4" w:space="0" w:color="auto"/>
            </w:tcBorders>
            <w:shd w:val="clear" w:color="000000" w:fill="FFFFFF"/>
            <w:vAlign w:val="center"/>
          </w:tcPr>
          <w:p w:rsidR="001E05FB" w:rsidRPr="00D706E8" w:rsidRDefault="001E05FB" w:rsidP="00D706E8">
            <w:pPr>
              <w:spacing w:after="0" w:line="240" w:lineRule="auto"/>
              <w:ind w:left="-199" w:firstLineChars="100" w:firstLine="200"/>
              <w:rPr>
                <w:rFonts w:ascii="Times New Roman" w:eastAsia="Times New Roman" w:hAnsi="Times New Roman"/>
                <w:color w:val="000000"/>
                <w:sz w:val="20"/>
                <w:szCs w:val="20"/>
              </w:rPr>
            </w:pPr>
          </w:p>
        </w:tc>
        <w:tc>
          <w:tcPr>
            <w:tcW w:w="2520" w:type="dxa"/>
            <w:tcBorders>
              <w:top w:val="single" w:sz="4" w:space="0" w:color="auto"/>
            </w:tcBorders>
            <w:shd w:val="clear" w:color="000000" w:fill="FFFFFF"/>
            <w:noWrap/>
            <w:vAlign w:val="center"/>
          </w:tcPr>
          <w:p w:rsidR="001E05FB" w:rsidRPr="00D706E8" w:rsidRDefault="001E05FB" w:rsidP="00D706E8">
            <w:pPr>
              <w:spacing w:after="0" w:line="240" w:lineRule="auto"/>
              <w:ind w:left="-199"/>
              <w:jc w:val="center"/>
              <w:rPr>
                <w:rFonts w:ascii="Times New Roman" w:hAnsi="Times New Roman"/>
                <w:sz w:val="20"/>
                <w:szCs w:val="20"/>
              </w:rPr>
            </w:pPr>
          </w:p>
        </w:tc>
        <w:tc>
          <w:tcPr>
            <w:tcW w:w="2340" w:type="dxa"/>
            <w:tcBorders>
              <w:top w:val="single" w:sz="4" w:space="0" w:color="auto"/>
            </w:tcBorders>
            <w:shd w:val="clear" w:color="000000" w:fill="FFFFFF"/>
            <w:noWrap/>
            <w:vAlign w:val="center"/>
          </w:tcPr>
          <w:p w:rsidR="001E05FB" w:rsidRPr="00D706E8" w:rsidRDefault="001E05FB" w:rsidP="00D706E8">
            <w:pPr>
              <w:spacing w:after="0" w:line="240" w:lineRule="auto"/>
              <w:ind w:left="-199"/>
              <w:jc w:val="center"/>
              <w:rPr>
                <w:rFonts w:ascii="Times New Roman" w:hAnsi="Times New Roman"/>
                <w:sz w:val="20"/>
                <w:szCs w:val="20"/>
              </w:rPr>
            </w:pPr>
          </w:p>
        </w:tc>
        <w:tc>
          <w:tcPr>
            <w:tcW w:w="2250" w:type="dxa"/>
            <w:tcBorders>
              <w:top w:val="single" w:sz="4" w:space="0" w:color="auto"/>
            </w:tcBorders>
            <w:shd w:val="clear" w:color="000000" w:fill="FFFFFF"/>
            <w:noWrap/>
            <w:vAlign w:val="center"/>
          </w:tcPr>
          <w:p w:rsidR="001E05FB" w:rsidRPr="00D706E8" w:rsidRDefault="001E05FB" w:rsidP="00D706E8">
            <w:pPr>
              <w:spacing w:after="0" w:line="240" w:lineRule="auto"/>
              <w:ind w:left="-199"/>
              <w:jc w:val="center"/>
              <w:rPr>
                <w:rFonts w:ascii="Times New Roman" w:hAnsi="Times New Roman"/>
                <w:sz w:val="20"/>
                <w:szCs w:val="20"/>
              </w:rPr>
            </w:pPr>
          </w:p>
        </w:tc>
      </w:tr>
      <w:tr w:rsidR="001E05FB" w:rsidRPr="00D706E8" w:rsidTr="001E05FB">
        <w:trPr>
          <w:trHeight w:val="300"/>
        </w:trPr>
        <w:tc>
          <w:tcPr>
            <w:tcW w:w="9265" w:type="dxa"/>
            <w:gridSpan w:val="4"/>
            <w:shd w:val="clear" w:color="000000" w:fill="FFFFFF"/>
            <w:vAlign w:val="center"/>
          </w:tcPr>
          <w:p w:rsidR="001E05FB" w:rsidRPr="00635E87" w:rsidRDefault="001E05FB" w:rsidP="001E05FB">
            <w:pPr>
              <w:spacing w:after="0" w:line="240" w:lineRule="auto"/>
              <w:rPr>
                <w:rFonts w:ascii="Times New Roman" w:hAnsi="Times New Roman"/>
                <w:sz w:val="18"/>
                <w:szCs w:val="18"/>
              </w:rPr>
            </w:pPr>
            <w:r w:rsidRPr="00635E87">
              <w:rPr>
                <w:rFonts w:ascii="Times New Roman" w:hAnsi="Times New Roman"/>
                <w:sz w:val="18"/>
                <w:szCs w:val="18"/>
                <w:vertAlign w:val="superscript"/>
              </w:rPr>
              <w:t>1</w:t>
            </w:r>
            <w:r w:rsidRPr="00635E87">
              <w:rPr>
                <w:rFonts w:ascii="Times New Roman" w:hAnsi="Times New Roman"/>
                <w:sz w:val="18"/>
                <w:szCs w:val="18"/>
              </w:rPr>
              <w:t xml:space="preserve">Due to joint distributions, </w:t>
            </w:r>
            <w:proofErr w:type="spellStart"/>
            <w:r w:rsidRPr="00635E87">
              <w:rPr>
                <w:rFonts w:ascii="Times New Roman" w:hAnsi="Times New Roman"/>
                <w:sz w:val="18"/>
                <w:szCs w:val="18"/>
              </w:rPr>
              <w:t>multicausality</w:t>
            </w:r>
            <w:proofErr w:type="spellEnd"/>
            <w:r w:rsidRPr="00635E87">
              <w:rPr>
                <w:rFonts w:ascii="Times New Roman" w:hAnsi="Times New Roman"/>
                <w:sz w:val="18"/>
                <w:szCs w:val="18"/>
              </w:rPr>
              <w:t xml:space="preserve">, interaction, and because the effects of some risk factors are partly mediated through other risk factors, the number of deaths attributable to different risk factors cannot be summed.  For example, part of the burden due to high BP is due to high sodium intake and low intakes of fruits and vegetables; whereas </w:t>
            </w:r>
            <w:proofErr w:type="gramStart"/>
            <w:r w:rsidRPr="00635E87">
              <w:rPr>
                <w:rFonts w:ascii="Times New Roman" w:hAnsi="Times New Roman"/>
                <w:sz w:val="18"/>
                <w:szCs w:val="18"/>
              </w:rPr>
              <w:t>much of the burden due to high BMI is mediated by high BP, cholesterol, and glucose</w:t>
            </w:r>
            <w:proofErr w:type="gramEnd"/>
            <w:r w:rsidRPr="00635E87">
              <w:rPr>
                <w:rFonts w:ascii="Times New Roman" w:hAnsi="Times New Roman"/>
                <w:sz w:val="18"/>
                <w:szCs w:val="18"/>
              </w:rPr>
              <w:t xml:space="preserve">.  Thus, the numbers of deaths attributable to each risk factor </w:t>
            </w:r>
            <w:proofErr w:type="gramStart"/>
            <w:r w:rsidRPr="00635E87">
              <w:rPr>
                <w:rFonts w:ascii="Times New Roman" w:hAnsi="Times New Roman"/>
                <w:sz w:val="18"/>
                <w:szCs w:val="18"/>
              </w:rPr>
              <w:t>should be considered</w:t>
            </w:r>
            <w:proofErr w:type="gramEnd"/>
            <w:r w:rsidRPr="00635E87">
              <w:rPr>
                <w:rFonts w:ascii="Times New Roman" w:hAnsi="Times New Roman"/>
                <w:sz w:val="18"/>
                <w:szCs w:val="18"/>
              </w:rPr>
              <w:t xml:space="preserve"> the total numbers of deaths due to this factor, including its upstream determinants and downstream mediators.</w:t>
            </w:r>
          </w:p>
          <w:p w:rsidR="001E05FB" w:rsidRPr="00635E87" w:rsidRDefault="001E05FB" w:rsidP="001E05FB">
            <w:pPr>
              <w:spacing w:after="0" w:line="240" w:lineRule="auto"/>
              <w:rPr>
                <w:rFonts w:ascii="Times New Roman" w:hAnsi="Times New Roman"/>
                <w:sz w:val="18"/>
                <w:szCs w:val="18"/>
              </w:rPr>
            </w:pPr>
            <w:r w:rsidRPr="00635E87">
              <w:rPr>
                <w:rFonts w:ascii="Times New Roman" w:hAnsi="Times New Roman"/>
                <w:sz w:val="18"/>
                <w:szCs w:val="18"/>
                <w:vertAlign w:val="superscript"/>
              </w:rPr>
              <w:t>2</w:t>
            </w:r>
            <w:r w:rsidRPr="00635E87">
              <w:rPr>
                <w:rFonts w:ascii="Times New Roman" w:hAnsi="Times New Roman"/>
                <w:sz w:val="18"/>
                <w:szCs w:val="18"/>
              </w:rPr>
              <w:t xml:space="preserve">Total </w:t>
            </w:r>
            <w:proofErr w:type="spellStart"/>
            <w:r w:rsidRPr="00635E87">
              <w:rPr>
                <w:rFonts w:ascii="Times New Roman" w:hAnsi="Times New Roman"/>
                <w:sz w:val="18"/>
                <w:szCs w:val="18"/>
              </w:rPr>
              <w:t>cardiometabolic</w:t>
            </w:r>
            <w:proofErr w:type="spellEnd"/>
            <w:r w:rsidRPr="00635E87">
              <w:rPr>
                <w:rFonts w:ascii="Times New Roman" w:hAnsi="Times New Roman"/>
                <w:sz w:val="18"/>
                <w:szCs w:val="18"/>
              </w:rPr>
              <w:t xml:space="preserve"> deaths due to CHD (ICD-10 codes I20–I25), ischemic stroke (I63, I65–I67, </w:t>
            </w:r>
            <w:proofErr w:type="gramStart"/>
            <w:r w:rsidRPr="00635E87">
              <w:rPr>
                <w:rFonts w:ascii="Times New Roman" w:hAnsi="Times New Roman"/>
                <w:sz w:val="18"/>
                <w:szCs w:val="18"/>
              </w:rPr>
              <w:t>I69.3</w:t>
            </w:r>
            <w:proofErr w:type="gramEnd"/>
            <w:r w:rsidRPr="00635E87">
              <w:rPr>
                <w:rFonts w:ascii="Times New Roman" w:hAnsi="Times New Roman"/>
                <w:sz w:val="18"/>
                <w:szCs w:val="18"/>
              </w:rPr>
              <w:t>), hemorrhagic/other non-ischemic stroke (I60-62, I69.0-2), hypertensive heart disease (I11–I13), aortic aneurysm (I71), rheumatic heart disease (I01, I02.0, I05–I09), inflammatory heart disease (I33, I42), other CVDs, and diabetes mellitus (E10–E14).</w:t>
            </w:r>
          </w:p>
          <w:p w:rsidR="001E05FB" w:rsidRPr="00635E87" w:rsidRDefault="001E05FB" w:rsidP="001E05FB">
            <w:pPr>
              <w:spacing w:after="0" w:line="240" w:lineRule="auto"/>
              <w:rPr>
                <w:rFonts w:ascii="Times New Roman" w:hAnsi="Times New Roman"/>
                <w:sz w:val="18"/>
                <w:szCs w:val="18"/>
              </w:rPr>
            </w:pPr>
            <w:r>
              <w:rPr>
                <w:rFonts w:ascii="Times New Roman" w:hAnsi="Times New Roman"/>
                <w:sz w:val="18"/>
                <w:szCs w:val="18"/>
                <w:vertAlign w:val="superscript"/>
              </w:rPr>
              <w:t>3</w:t>
            </w:r>
            <w:r w:rsidRPr="003F4DB0">
              <w:rPr>
                <w:rFonts w:ascii="Times New Roman" w:hAnsi="Times New Roman"/>
                <w:sz w:val="18"/>
                <w:szCs w:val="18"/>
                <w:vertAlign w:val="superscript"/>
              </w:rPr>
              <w:t xml:space="preserve"> </w:t>
            </w:r>
            <w:r w:rsidRPr="00635E87">
              <w:rPr>
                <w:rFonts w:ascii="Times New Roman" w:hAnsi="Times New Roman"/>
                <w:sz w:val="18"/>
                <w:szCs w:val="18"/>
              </w:rPr>
              <w:t xml:space="preserve">Based on the number of people in the same stratum of the population (e.g. men, 25-44y </w:t>
            </w:r>
            <w:proofErr w:type="spellStart"/>
            <w:r w:rsidRPr="00635E87">
              <w:rPr>
                <w:rFonts w:ascii="Times New Roman" w:hAnsi="Times New Roman"/>
                <w:sz w:val="18"/>
                <w:szCs w:val="18"/>
              </w:rPr>
              <w:t>etc</w:t>
            </w:r>
            <w:proofErr w:type="spellEnd"/>
            <w:r w:rsidRPr="00635E87">
              <w:rPr>
                <w:rFonts w:ascii="Times New Roman" w:hAnsi="Times New Roman"/>
                <w:sz w:val="18"/>
                <w:szCs w:val="18"/>
              </w:rPr>
              <w:t>);</w:t>
            </w:r>
          </w:p>
          <w:p w:rsidR="001E05FB" w:rsidRPr="00635E87" w:rsidRDefault="001E05FB" w:rsidP="001E05FB">
            <w:pPr>
              <w:spacing w:after="0" w:line="240" w:lineRule="auto"/>
              <w:rPr>
                <w:rFonts w:ascii="Times New Roman" w:hAnsi="Times New Roman"/>
                <w:sz w:val="18"/>
                <w:szCs w:val="18"/>
              </w:rPr>
            </w:pPr>
            <w:r>
              <w:rPr>
                <w:rFonts w:ascii="Times New Roman" w:hAnsi="Times New Roman"/>
                <w:sz w:val="18"/>
                <w:szCs w:val="18"/>
                <w:vertAlign w:val="superscript"/>
              </w:rPr>
              <w:t>4</w:t>
            </w:r>
            <w:r w:rsidRPr="003F4DB0">
              <w:rPr>
                <w:rFonts w:ascii="Times New Roman" w:hAnsi="Times New Roman"/>
                <w:sz w:val="18"/>
                <w:szCs w:val="18"/>
                <w:vertAlign w:val="superscript"/>
              </w:rPr>
              <w:t xml:space="preserve"> </w:t>
            </w:r>
            <w:r w:rsidRPr="00635E87">
              <w:rPr>
                <w:rFonts w:ascii="Times New Roman" w:hAnsi="Times New Roman"/>
                <w:sz w:val="18"/>
                <w:szCs w:val="18"/>
              </w:rPr>
              <w:t xml:space="preserve">Based on the total number of deaths in the same stratum of the population (e.g. men, 25-44y </w:t>
            </w:r>
            <w:proofErr w:type="spellStart"/>
            <w:r w:rsidRPr="00635E87">
              <w:rPr>
                <w:rFonts w:ascii="Times New Roman" w:hAnsi="Times New Roman"/>
                <w:sz w:val="18"/>
                <w:szCs w:val="18"/>
              </w:rPr>
              <w:t>etc</w:t>
            </w:r>
            <w:proofErr w:type="spellEnd"/>
            <w:r w:rsidRPr="00635E87">
              <w:rPr>
                <w:rFonts w:ascii="Times New Roman" w:hAnsi="Times New Roman"/>
                <w:sz w:val="18"/>
                <w:szCs w:val="18"/>
              </w:rPr>
              <w:t>)</w:t>
            </w:r>
          </w:p>
          <w:p w:rsidR="001E05FB" w:rsidRPr="00D706E8" w:rsidRDefault="001E05FB" w:rsidP="00A01D51">
            <w:pPr>
              <w:rPr>
                <w:rFonts w:ascii="Times New Roman" w:hAnsi="Times New Roman"/>
                <w:sz w:val="20"/>
                <w:szCs w:val="20"/>
              </w:rPr>
            </w:pPr>
            <w:r>
              <w:rPr>
                <w:rFonts w:ascii="Times New Roman" w:hAnsi="Times New Roman"/>
                <w:sz w:val="18"/>
                <w:szCs w:val="18"/>
                <w:vertAlign w:val="superscript"/>
              </w:rPr>
              <w:t>5</w:t>
            </w:r>
            <w:r w:rsidRPr="00635E87">
              <w:rPr>
                <w:rFonts w:ascii="Times New Roman" w:hAnsi="Times New Roman"/>
                <w:sz w:val="18"/>
                <w:szCs w:val="18"/>
              </w:rPr>
              <w:t>only mediated effects through blood pressure</w:t>
            </w:r>
          </w:p>
        </w:tc>
      </w:tr>
    </w:tbl>
    <w:p w:rsidR="001E05FB" w:rsidRDefault="001E05FB"/>
    <w:sectPr w:rsidR="001E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8"/>
    <w:rsid w:val="00084B17"/>
    <w:rsid w:val="001E05FB"/>
    <w:rsid w:val="002A0935"/>
    <w:rsid w:val="00637DC4"/>
    <w:rsid w:val="00A01D51"/>
    <w:rsid w:val="00C47CE5"/>
    <w:rsid w:val="00D7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EC397-7714-408E-8148-D20FDE08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D706E8"/>
    <w:pPr>
      <w:spacing w:line="240" w:lineRule="auto"/>
    </w:pPr>
    <w:rPr>
      <w:b/>
      <w:bCs/>
      <w:color w:val="4F81BD"/>
      <w:sz w:val="18"/>
      <w:szCs w:val="18"/>
    </w:rPr>
  </w:style>
  <w:style w:type="character" w:customStyle="1" w:styleId="CaptionChar">
    <w:name w:val="Caption Char"/>
    <w:basedOn w:val="DefaultParagraphFont"/>
    <w:link w:val="Caption"/>
    <w:uiPriority w:val="35"/>
    <w:rsid w:val="00D706E8"/>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Marcia C</dc:creator>
  <cp:keywords/>
  <dc:description/>
  <cp:lastModifiedBy>Otto, Marcia C</cp:lastModifiedBy>
  <cp:revision>3</cp:revision>
  <dcterms:created xsi:type="dcterms:W3CDTF">2015-07-17T18:38:00Z</dcterms:created>
  <dcterms:modified xsi:type="dcterms:W3CDTF">2016-03-07T16:05:00Z</dcterms:modified>
</cp:coreProperties>
</file>