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05" w:rsidRPr="00C102B9" w:rsidRDefault="007D5CC4">
      <w:pPr>
        <w:rPr>
          <w:b/>
          <w:sz w:val="20"/>
          <w:szCs w:val="20"/>
        </w:rPr>
      </w:pPr>
      <w:bookmarkStart w:id="0" w:name="_Toc343020452"/>
      <w:bookmarkStart w:id="1" w:name="_Toc343082475"/>
      <w:r w:rsidRPr="00EE385E">
        <w:rPr>
          <w:rStyle w:val="Heading1Char"/>
        </w:rPr>
        <w:t>Table</w:t>
      </w:r>
      <w:r w:rsidR="004F531D" w:rsidRPr="00EE385E">
        <w:rPr>
          <w:rStyle w:val="Heading1Char"/>
        </w:rPr>
        <w:t xml:space="preserve"> </w:t>
      </w:r>
      <w:r w:rsidRPr="00EE385E">
        <w:rPr>
          <w:rStyle w:val="Heading1Char"/>
        </w:rPr>
        <w:t>S1</w:t>
      </w:r>
      <w:r w:rsidR="004F531D" w:rsidRPr="00EE385E">
        <w:rPr>
          <w:rStyle w:val="Heading1Char"/>
        </w:rPr>
        <w:t xml:space="preserve">. </w:t>
      </w:r>
      <w:r w:rsidR="00AA68BB" w:rsidRPr="00EE385E">
        <w:rPr>
          <w:rStyle w:val="Heading1Char"/>
        </w:rPr>
        <w:t>Models used and their individual r</w:t>
      </w:r>
      <w:r w:rsidR="004F531D" w:rsidRPr="00EE385E">
        <w:rPr>
          <w:rStyle w:val="Heading1Char"/>
        </w:rPr>
        <w:t>esults.</w:t>
      </w:r>
      <w:bookmarkEnd w:id="0"/>
      <w:bookmarkEnd w:id="1"/>
      <w:r w:rsidR="004F531D" w:rsidRPr="00BF3CFB">
        <w:rPr>
          <w:sz w:val="20"/>
          <w:szCs w:val="20"/>
        </w:rPr>
        <w:t xml:space="preserve"> This </w:t>
      </w:r>
      <w:r w:rsidR="006A1F47">
        <w:rPr>
          <w:sz w:val="20"/>
          <w:szCs w:val="20"/>
        </w:rPr>
        <w:t xml:space="preserve">table summarizes all models used in this study for each variable. Each tick mark contain a URL, where you will find </w:t>
      </w:r>
      <w:r w:rsidR="004F531D" w:rsidRPr="00BF3CFB">
        <w:rPr>
          <w:sz w:val="20"/>
          <w:szCs w:val="20"/>
        </w:rPr>
        <w:t>detailed results fo</w:t>
      </w:r>
      <w:r w:rsidR="006A1F47">
        <w:rPr>
          <w:sz w:val="20"/>
          <w:szCs w:val="20"/>
        </w:rPr>
        <w:t xml:space="preserve">r each model, including </w:t>
      </w:r>
      <w:r w:rsidR="004F531D" w:rsidRPr="00BF3CFB">
        <w:rPr>
          <w:sz w:val="20"/>
          <w:szCs w:val="20"/>
        </w:rPr>
        <w:t xml:space="preserve">animations </w:t>
      </w:r>
      <w:r w:rsidR="006A1F47">
        <w:rPr>
          <w:sz w:val="20"/>
          <w:szCs w:val="20"/>
        </w:rPr>
        <w:t>of</w:t>
      </w:r>
      <w:r w:rsidR="004F531D" w:rsidRPr="00BF3CFB">
        <w:rPr>
          <w:sz w:val="20"/>
          <w:szCs w:val="20"/>
        </w:rPr>
        <w:t xml:space="preserve"> the temporal change of each model</w:t>
      </w:r>
      <w:r w:rsidR="006A1F47">
        <w:rPr>
          <w:sz w:val="20"/>
          <w:szCs w:val="20"/>
        </w:rPr>
        <w:t xml:space="preserve">, profiles of the projected change to the year 2100, and </w:t>
      </w:r>
      <w:r w:rsidR="00430B02" w:rsidRPr="00BF3CFB">
        <w:rPr>
          <w:sz w:val="20"/>
          <w:szCs w:val="20"/>
        </w:rPr>
        <w:t xml:space="preserve">model </w:t>
      </w:r>
      <w:r w:rsidR="006A1F47">
        <w:rPr>
          <w:sz w:val="20"/>
          <w:szCs w:val="20"/>
        </w:rPr>
        <w:t xml:space="preserve">skills </w:t>
      </w:r>
      <w:r w:rsidR="00430B02" w:rsidRPr="00BF3CFB">
        <w:rPr>
          <w:sz w:val="20"/>
          <w:szCs w:val="20"/>
        </w:rPr>
        <w:t>in</w:t>
      </w:r>
      <w:r w:rsidR="006A1F47">
        <w:rPr>
          <w:sz w:val="20"/>
          <w:szCs w:val="20"/>
        </w:rPr>
        <w:t xml:space="preserve"> predicting the given parameter, summarized with T</w:t>
      </w:r>
      <w:r w:rsidR="00430B02" w:rsidRPr="00BF3CFB">
        <w:rPr>
          <w:sz w:val="20"/>
          <w:szCs w:val="20"/>
        </w:rPr>
        <w:t>aylor diagrams</w:t>
      </w:r>
      <w:r w:rsidR="00D513CC" w:rsidRPr="00BF3CFB">
        <w:rPr>
          <w:sz w:val="20"/>
          <w:szCs w:val="20"/>
        </w:rPr>
        <w:t xml:space="preserve">. </w:t>
      </w:r>
    </w:p>
    <w:tbl>
      <w:tblPr>
        <w:tblW w:w="14614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956"/>
        <w:gridCol w:w="1818"/>
        <w:gridCol w:w="2094"/>
        <w:gridCol w:w="1301"/>
        <w:gridCol w:w="1301"/>
        <w:gridCol w:w="1364"/>
        <w:gridCol w:w="1301"/>
      </w:tblGrid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Center</w:t>
            </w: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Contact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Sea Water Potential Temperature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Productivity/ Sinking Particulate Organic Carbon Flux</w:t>
            </w:r>
            <w:r w:rsidRPr="00C61A11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Dissolved Oxygen Concentration</w:t>
            </w:r>
            <w:r w:rsidRPr="00C61A11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</w:t>
            </w: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Commonwealth Scientific and Industrial Research </w:t>
            </w:r>
            <w:proofErr w:type="spellStart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ACCESS1-0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Mark Collier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ACCESS1-3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mark.collier@csiro.au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Bureau of Meteorology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CSIRO-Mk3-6-0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Beijing Climate Center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China 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BCC-CSM1.1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C61A11">
              <w:rPr>
                <w:rFonts w:eastAsia="Times New Roman" w:cstheme="minorHAnsi"/>
                <w:sz w:val="18"/>
                <w:szCs w:val="18"/>
              </w:rPr>
              <w:t>Tongwen</w:t>
            </w:r>
            <w:proofErr w:type="spellEnd"/>
            <w:r w:rsidRPr="00C61A11">
              <w:rPr>
                <w:rFonts w:eastAsia="Times New Roman" w:cstheme="minorHAnsi"/>
                <w:sz w:val="18"/>
                <w:szCs w:val="18"/>
              </w:rPr>
              <w:t xml:space="preserve"> Wu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BCC-CSM1.1.m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twwu@cma.gov.cn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Beijing Normal University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China 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BNU-ESM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Centre National de </w:t>
            </w:r>
            <w:proofErr w:type="spellStart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Recherches</w:t>
            </w:r>
            <w:proofErr w:type="spellEnd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Meteorologiques</w:t>
            </w:r>
            <w:proofErr w:type="spellEnd"/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CNRM-CM5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Canadian Centre for Climate </w:t>
            </w:r>
            <w:proofErr w:type="spellStart"/>
            <w:r w:rsidRPr="00C61A11">
              <w:rPr>
                <w:rFonts w:eastAsia="Times New Roman" w:cstheme="minorHAnsi"/>
                <w:sz w:val="18"/>
                <w:szCs w:val="18"/>
              </w:rPr>
              <w:t>Modelling</w:t>
            </w:r>
            <w:proofErr w:type="spellEnd"/>
            <w:r w:rsidRPr="00C61A11">
              <w:rPr>
                <w:rFonts w:eastAsia="Times New Roman" w:cstheme="minorHAnsi"/>
                <w:sz w:val="18"/>
                <w:szCs w:val="18"/>
              </w:rPr>
              <w:t xml:space="preserve"> and Analysis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Canada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CanESM2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Jim Christian </w:t>
            </w: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Jim.Christian@ec.gc.ca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  <w:r w:rsidR="004F531D" w:rsidRPr="00C61A11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Community Climate System Model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CESM1-BGC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1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CESM1-CAM5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cesm_data@ucar.edu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National Center for Atmospheric Research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CCSM4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Chinese Academy of Sciences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China 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FGOALS-s2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FGOALS-g2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First Institute of Oceanography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China 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FIO-ESM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Geophysical Fluid Dynamics Laboratory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GFDL-CM3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John Dunne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GFDL-ESM2G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John.Dunne@noaa.gov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  <w:r w:rsidR="004F531D" w:rsidRPr="00C61A11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2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GFDL-ESM2M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NASA Goddard Institute for Space Studies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GISS-E2-R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Met Office Hadley Centre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UK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HadGEM2-CC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Paul Halloran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3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HadGEM2-ES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BF3CFB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3CFB">
              <w:rPr>
                <w:rFonts w:eastAsia="Times New Roman" w:cstheme="minorHAnsi"/>
                <w:i/>
                <w:sz w:val="16"/>
                <w:szCs w:val="16"/>
              </w:rPr>
              <w:t>paul.halloran@metoffice.gov.uk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Institut</w:t>
            </w:r>
            <w:proofErr w:type="spellEnd"/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Pierre-Simon Laplace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IPSL-CM5A-LR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Laurent Bopp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IPSL-CM5A-MR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bopp@lsce.ipsl.fr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4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IPSL-CM5B-LR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University of Tokyo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MIROC5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Hideki </w:t>
            </w:r>
            <w:proofErr w:type="spellStart"/>
            <w:r w:rsidRPr="00C61A11">
              <w:rPr>
                <w:rFonts w:eastAsia="Times New Roman" w:cstheme="minorHAnsi"/>
                <w:sz w:val="18"/>
                <w:szCs w:val="18"/>
              </w:rPr>
              <w:t>Okajima</w:t>
            </w:r>
            <w:proofErr w:type="spellEnd"/>
            <w:r w:rsidRPr="00C61A1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MIROC-ESM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okajima@aori.u-tokyo.ac.jp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MIROC-ESM-CHEM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Max Planck Institute for Meteorology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MPI-ESM-LR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Tatiana </w:t>
            </w:r>
            <w:proofErr w:type="spellStart"/>
            <w:r w:rsidRPr="00C61A11">
              <w:rPr>
                <w:rFonts w:eastAsia="Times New Roman" w:cstheme="minorHAnsi"/>
                <w:sz w:val="18"/>
                <w:szCs w:val="18"/>
              </w:rPr>
              <w:t>Ilyina</w:t>
            </w:r>
            <w:proofErr w:type="spellEnd"/>
            <w:r w:rsidRPr="00C61A1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5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  <w:r w:rsidR="004F531D" w:rsidRPr="00C61A11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MPI-ESM-MR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tatjana.ilyina@zmaw.de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3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4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  <w:r w:rsidR="004F531D" w:rsidRPr="00C61A11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5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6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Meteorological Research Institute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MRI-CGCM3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>NAKANO Hideyuki</w:t>
            </w:r>
          </w:p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hnakano@mri-jma.go.jp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7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Norwegian Climate Centre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NorESM1-M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sz w:val="18"/>
                <w:szCs w:val="18"/>
              </w:rPr>
              <w:t xml:space="preserve">Jerry </w:t>
            </w:r>
            <w:proofErr w:type="spellStart"/>
            <w:r w:rsidRPr="00C61A11">
              <w:rPr>
                <w:rFonts w:eastAsia="Times New Roman" w:cstheme="minorHAnsi"/>
                <w:sz w:val="18"/>
                <w:szCs w:val="18"/>
              </w:rPr>
              <w:t>Tjiputra</w:t>
            </w:r>
            <w:proofErr w:type="spellEnd"/>
            <w:r w:rsidRPr="00C61A1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8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F531D" w:rsidRPr="00C61A11" w:rsidTr="008125D3">
        <w:trPr>
          <w:trHeight w:val="288"/>
        </w:trPr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NorESM1-ME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i/>
                <w:sz w:val="18"/>
                <w:szCs w:val="18"/>
              </w:rPr>
              <w:t>jtj061@bjerknes.uib.no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69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70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  <w:r w:rsidR="004F531D" w:rsidRPr="00C61A11">
              <w:rPr>
                <w:rFonts w:eastAsia="Times New Roman" w:cstheme="minorHAnsi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71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1D" w:rsidRPr="00C61A11" w:rsidRDefault="00027C4D" w:rsidP="004F53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hyperlink r:id="rId72" w:history="1">
              <w:r w:rsidR="004F531D" w:rsidRPr="00C61A11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√</w:t>
              </w:r>
            </w:hyperlink>
          </w:p>
        </w:tc>
      </w:tr>
      <w:tr w:rsidR="004F531D" w:rsidRPr="00C61A11" w:rsidTr="008125D3">
        <w:trPr>
          <w:trHeight w:val="288"/>
        </w:trPr>
        <w:tc>
          <w:tcPr>
            <w:tcW w:w="7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TOTAL NUMBER OF MODELS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F531D" w:rsidRPr="00C61A11" w:rsidRDefault="004F531D" w:rsidP="004F531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8125D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8125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8125D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8125D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8125D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8125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1D" w:rsidRPr="00C61A11" w:rsidRDefault="004F531D" w:rsidP="008125D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61A1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8125D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</w:tbl>
    <w:p w:rsidR="004F531D" w:rsidRPr="00C61A11" w:rsidRDefault="004F531D" w:rsidP="004F531D">
      <w:pPr>
        <w:pStyle w:val="NoSpacing"/>
        <w:contextualSpacing/>
        <w:rPr>
          <w:sz w:val="18"/>
          <w:szCs w:val="18"/>
        </w:rPr>
      </w:pPr>
      <w:r w:rsidRPr="00C61A11">
        <w:rPr>
          <w:sz w:val="18"/>
          <w:szCs w:val="18"/>
        </w:rPr>
        <w:t> </w:t>
      </w:r>
      <w:r w:rsidRPr="00C61A11">
        <w:rPr>
          <w:color w:val="FF0000"/>
          <w:sz w:val="18"/>
          <w:szCs w:val="18"/>
          <w:vertAlign w:val="superscript"/>
        </w:rPr>
        <w:t>1</w:t>
      </w:r>
      <w:r w:rsidRPr="00C61A11">
        <w:rPr>
          <w:color w:val="FF0000"/>
          <w:sz w:val="18"/>
          <w:szCs w:val="18"/>
        </w:rPr>
        <w:t xml:space="preserve"> </w:t>
      </w:r>
      <w:r w:rsidRPr="00C61A11">
        <w:rPr>
          <w:sz w:val="18"/>
          <w:szCs w:val="18"/>
        </w:rPr>
        <w:t xml:space="preserve">Sinking Particulate Organic Carbon Flux (i.e. CMIP5 variable name: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 xml:space="preserve">) was not calculated directly by the model. However, Detrital Organic Carbon Concentration (i.e. CMIP5 variable name: </w:t>
      </w:r>
      <w:proofErr w:type="spellStart"/>
      <w:r w:rsidRPr="00C61A11">
        <w:rPr>
          <w:sz w:val="18"/>
          <w:szCs w:val="18"/>
        </w:rPr>
        <w:t>detoc</w:t>
      </w:r>
      <w:proofErr w:type="spellEnd"/>
      <w:r w:rsidRPr="00C61A11">
        <w:rPr>
          <w:sz w:val="18"/>
          <w:szCs w:val="18"/>
        </w:rPr>
        <w:t xml:space="preserve">) was, which in turn, can be used to estimate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 xml:space="preserve"> by multiplying </w:t>
      </w:r>
      <w:proofErr w:type="spellStart"/>
      <w:r w:rsidRPr="00C61A11">
        <w:rPr>
          <w:sz w:val="18"/>
          <w:szCs w:val="18"/>
        </w:rPr>
        <w:t>detoc</w:t>
      </w:r>
      <w:proofErr w:type="spellEnd"/>
      <w:r w:rsidRPr="00C61A11">
        <w:rPr>
          <w:sz w:val="18"/>
          <w:szCs w:val="18"/>
        </w:rPr>
        <w:t xml:space="preserve"> by a flux speed of 0.000081 (m/s) or 7 (m/d). See </w:t>
      </w:r>
      <w:r w:rsidR="00024C81">
        <w:rPr>
          <w:sz w:val="18"/>
          <w:szCs w:val="18"/>
        </w:rPr>
        <w:t>below validation</w:t>
      </w:r>
      <w:r w:rsidR="00396911">
        <w:rPr>
          <w:sz w:val="18"/>
          <w:szCs w:val="18"/>
        </w:rPr>
        <w:t xml:space="preserve"> </w:t>
      </w:r>
      <w:r w:rsidRPr="00C61A11">
        <w:rPr>
          <w:sz w:val="18"/>
          <w:szCs w:val="18"/>
        </w:rPr>
        <w:t xml:space="preserve">of the approach using models that calculated both </w:t>
      </w:r>
      <w:proofErr w:type="spellStart"/>
      <w:r w:rsidRPr="00C61A11">
        <w:rPr>
          <w:sz w:val="18"/>
          <w:szCs w:val="18"/>
        </w:rPr>
        <w:t>detoc</w:t>
      </w:r>
      <w:proofErr w:type="spellEnd"/>
      <w:r w:rsidRPr="00C61A11">
        <w:rPr>
          <w:sz w:val="18"/>
          <w:szCs w:val="18"/>
        </w:rPr>
        <w:t xml:space="preserve"> and Productivity.</w:t>
      </w:r>
    </w:p>
    <w:p w:rsidR="004F531D" w:rsidRPr="00C61A11" w:rsidRDefault="004F531D" w:rsidP="004F531D">
      <w:pPr>
        <w:pStyle w:val="NoSpacing"/>
        <w:contextualSpacing/>
        <w:rPr>
          <w:sz w:val="18"/>
          <w:szCs w:val="18"/>
        </w:rPr>
      </w:pPr>
      <w:r w:rsidRPr="00C61A11">
        <w:rPr>
          <w:color w:val="FF0000"/>
          <w:sz w:val="18"/>
          <w:szCs w:val="18"/>
          <w:vertAlign w:val="superscript"/>
        </w:rPr>
        <w:t>2</w:t>
      </w:r>
      <w:r w:rsidRPr="00C61A11">
        <w:rPr>
          <w:color w:val="FF0000"/>
          <w:sz w:val="18"/>
          <w:szCs w:val="18"/>
        </w:rPr>
        <w:t xml:space="preserve"> </w:t>
      </w:r>
      <w:r w:rsidRPr="00C61A11">
        <w:rPr>
          <w:sz w:val="18"/>
          <w:szCs w:val="18"/>
        </w:rPr>
        <w:t xml:space="preserve">Sinking Particulate Organic Carbon Flux (i.e. CMIP5 variable name: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 xml:space="preserve">) was not specifically calculated by this model. However, the model calculated Detrital Nitrogen Concentrations (i.e. </w:t>
      </w:r>
      <w:proofErr w:type="spellStart"/>
      <w:r w:rsidRPr="00C61A11">
        <w:rPr>
          <w:sz w:val="18"/>
          <w:szCs w:val="18"/>
        </w:rPr>
        <w:t>ndet_z</w:t>
      </w:r>
      <w:proofErr w:type="spellEnd"/>
      <w:r w:rsidRPr="00C61A11">
        <w:rPr>
          <w:sz w:val="18"/>
          <w:szCs w:val="18"/>
        </w:rPr>
        <w:t xml:space="preserve"> in </w:t>
      </w:r>
      <w:proofErr w:type="spellStart"/>
      <w:r w:rsidRPr="00C61A11">
        <w:rPr>
          <w:sz w:val="18"/>
          <w:szCs w:val="18"/>
        </w:rPr>
        <w:t>molN</w:t>
      </w:r>
      <w:proofErr w:type="spellEnd"/>
      <w:r w:rsidRPr="00C61A11">
        <w:rPr>
          <w:sz w:val="18"/>
          <w:szCs w:val="18"/>
        </w:rPr>
        <w:t xml:space="preserve"> kg-1), which in turn can be converted to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 xml:space="preserve"> by multiply by the sinking velocity of 100 m/day, converting from mass to volume units (rho_0=1035 kg m-3), and from nitrogen to carbon (106/16). Specifically,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>=</w:t>
      </w:r>
      <w:proofErr w:type="spellStart"/>
      <w:r w:rsidRPr="00C61A11">
        <w:rPr>
          <w:sz w:val="18"/>
          <w:szCs w:val="18"/>
        </w:rPr>
        <w:t>ndet_z</w:t>
      </w:r>
      <w:proofErr w:type="spellEnd"/>
      <w:r w:rsidRPr="00C61A11">
        <w:rPr>
          <w:sz w:val="18"/>
          <w:szCs w:val="18"/>
        </w:rPr>
        <w:t>*100/86400*1035*106/16.</w:t>
      </w:r>
    </w:p>
    <w:p w:rsidR="004F531D" w:rsidRPr="00C61A11" w:rsidRDefault="004F531D" w:rsidP="004F531D">
      <w:pPr>
        <w:pStyle w:val="NoSpacing"/>
        <w:contextualSpacing/>
        <w:rPr>
          <w:sz w:val="18"/>
          <w:szCs w:val="18"/>
        </w:rPr>
      </w:pPr>
      <w:r w:rsidRPr="00C61A11">
        <w:rPr>
          <w:rFonts w:cstheme="minorHAnsi"/>
          <w:color w:val="FF0000"/>
          <w:sz w:val="18"/>
          <w:szCs w:val="18"/>
          <w:vertAlign w:val="superscript"/>
        </w:rPr>
        <w:t>3</w:t>
      </w:r>
      <w:r w:rsidRPr="00C61A11">
        <w:rPr>
          <w:sz w:val="18"/>
          <w:szCs w:val="18"/>
        </w:rPr>
        <w:t xml:space="preserve"> The same as in </w:t>
      </w:r>
      <w:r w:rsidRPr="00C61A11">
        <w:rPr>
          <w:color w:val="FF0000"/>
          <w:sz w:val="18"/>
          <w:szCs w:val="18"/>
          <w:vertAlign w:val="superscript"/>
        </w:rPr>
        <w:t>1</w:t>
      </w:r>
      <w:r w:rsidRPr="00C61A11">
        <w:rPr>
          <w:sz w:val="18"/>
          <w:szCs w:val="18"/>
        </w:rPr>
        <w:t xml:space="preserve"> but these models used a flux speed of 0.000058 (m/s) or 5 (m/d).</w:t>
      </w:r>
    </w:p>
    <w:p w:rsidR="004F531D" w:rsidRPr="00C61A11" w:rsidRDefault="004F531D" w:rsidP="004F531D">
      <w:pPr>
        <w:pStyle w:val="NoSpacing"/>
        <w:contextualSpacing/>
        <w:rPr>
          <w:sz w:val="18"/>
          <w:szCs w:val="18"/>
        </w:rPr>
      </w:pPr>
      <w:r w:rsidRPr="00C61A11">
        <w:rPr>
          <w:rFonts w:cstheme="minorHAnsi"/>
          <w:color w:val="FF0000"/>
          <w:sz w:val="18"/>
          <w:szCs w:val="18"/>
          <w:vertAlign w:val="superscript"/>
        </w:rPr>
        <w:t>4</w:t>
      </w:r>
      <w:r w:rsidRPr="00C61A11">
        <w:rPr>
          <w:sz w:val="18"/>
          <w:szCs w:val="18"/>
        </w:rPr>
        <w:t xml:space="preserve"> As in </w:t>
      </w:r>
      <w:r w:rsidRPr="00C61A11">
        <w:rPr>
          <w:color w:val="FF0000"/>
          <w:sz w:val="18"/>
          <w:szCs w:val="18"/>
          <w:vertAlign w:val="superscript"/>
        </w:rPr>
        <w:t>2</w:t>
      </w:r>
      <w:r w:rsidRPr="00C61A11">
        <w:rPr>
          <w:sz w:val="18"/>
          <w:szCs w:val="18"/>
        </w:rPr>
        <w:t xml:space="preserve">, this model calculated sinking Nitrogen in </w:t>
      </w:r>
      <w:proofErr w:type="spellStart"/>
      <w:r w:rsidRPr="00C61A11">
        <w:rPr>
          <w:sz w:val="18"/>
          <w:szCs w:val="18"/>
        </w:rPr>
        <w:t>mol</w:t>
      </w:r>
      <w:proofErr w:type="spellEnd"/>
      <w:r w:rsidRPr="00C61A11">
        <w:rPr>
          <w:sz w:val="18"/>
          <w:szCs w:val="18"/>
        </w:rPr>
        <w:t xml:space="preserve"> N m-2 s-1. So we multiple the </w:t>
      </w:r>
      <w:proofErr w:type="gramStart"/>
      <w:r w:rsidRPr="00C61A11">
        <w:rPr>
          <w:sz w:val="18"/>
          <w:szCs w:val="18"/>
        </w:rPr>
        <w:t>model’s</w:t>
      </w:r>
      <w:proofErr w:type="gramEnd"/>
      <w:r w:rsidRPr="00C61A11">
        <w:rPr>
          <w:sz w:val="18"/>
          <w:szCs w:val="18"/>
        </w:rPr>
        <w:t xml:space="preserve"> output by a conversion factor of 7 to convert from Nitrogen to Carbon and by 12.0107 to convert from </w:t>
      </w:r>
      <w:proofErr w:type="spellStart"/>
      <w:r w:rsidRPr="00C61A11">
        <w:rPr>
          <w:sz w:val="18"/>
          <w:szCs w:val="18"/>
        </w:rPr>
        <w:t>mol</w:t>
      </w:r>
      <w:proofErr w:type="spellEnd"/>
      <w:r w:rsidRPr="00C61A11">
        <w:rPr>
          <w:sz w:val="18"/>
          <w:szCs w:val="18"/>
        </w:rPr>
        <w:t xml:space="preserve"> to grams of Carbon.</w:t>
      </w:r>
    </w:p>
    <w:p w:rsidR="004F531D" w:rsidRPr="00C61A11" w:rsidRDefault="004F531D" w:rsidP="004F531D">
      <w:pPr>
        <w:pStyle w:val="NoSpacing"/>
        <w:contextualSpacing/>
        <w:rPr>
          <w:sz w:val="18"/>
          <w:szCs w:val="18"/>
        </w:rPr>
      </w:pPr>
      <w:r w:rsidRPr="00C61A11">
        <w:rPr>
          <w:rFonts w:cstheme="minorHAnsi"/>
          <w:color w:val="FF0000"/>
          <w:sz w:val="18"/>
          <w:szCs w:val="18"/>
          <w:vertAlign w:val="superscript"/>
        </w:rPr>
        <w:t>5</w:t>
      </w:r>
      <w:r w:rsidRPr="00C61A11">
        <w:rPr>
          <w:sz w:val="18"/>
          <w:szCs w:val="18"/>
        </w:rPr>
        <w:t xml:space="preserve"> Sinking Particulate Organic Carbon Flux (i.e. CMIP5 variable name: </w:t>
      </w:r>
      <w:proofErr w:type="spellStart"/>
      <w:r w:rsidRPr="00C61A11">
        <w:rPr>
          <w:sz w:val="18"/>
          <w:szCs w:val="18"/>
        </w:rPr>
        <w:t>expc</w:t>
      </w:r>
      <w:proofErr w:type="spellEnd"/>
      <w:r w:rsidRPr="00C61A11">
        <w:rPr>
          <w:sz w:val="18"/>
          <w:szCs w:val="18"/>
        </w:rPr>
        <w:t>) was originally measured in moles of Carbon per second but we converted to grams of Carbon per year by converting from moles to gram (*12.0107) and from seconds to year (*31536000). Phytoplankton Carbon Concentration was also converted from moles of Carbon to gram of Carbon by using the conversion factor of 12.0107.</w:t>
      </w:r>
    </w:p>
    <w:p w:rsidR="00024C81" w:rsidRDefault="004F531D" w:rsidP="00273A85">
      <w:pPr>
        <w:pStyle w:val="NoSpacing"/>
        <w:contextualSpacing/>
        <w:rPr>
          <w:sz w:val="18"/>
          <w:szCs w:val="18"/>
        </w:rPr>
      </w:pPr>
      <w:r w:rsidRPr="00C61A11">
        <w:rPr>
          <w:rFonts w:cstheme="minorHAnsi"/>
          <w:color w:val="FF0000"/>
          <w:sz w:val="18"/>
          <w:szCs w:val="18"/>
          <w:vertAlign w:val="superscript"/>
        </w:rPr>
        <w:t>6</w:t>
      </w:r>
      <w:r w:rsidRPr="00C61A11">
        <w:rPr>
          <w:sz w:val="18"/>
          <w:szCs w:val="18"/>
        </w:rPr>
        <w:t xml:space="preserve"> Dissolved Oxygen Concentration was originally measured in moles but we </w:t>
      </w:r>
      <w:proofErr w:type="gramStart"/>
      <w:r w:rsidRPr="00C61A11">
        <w:rPr>
          <w:sz w:val="18"/>
          <w:szCs w:val="18"/>
        </w:rPr>
        <w:t>converted  to</w:t>
      </w:r>
      <w:proofErr w:type="gramEnd"/>
      <w:r w:rsidRPr="00C61A11">
        <w:rPr>
          <w:sz w:val="18"/>
          <w:szCs w:val="18"/>
        </w:rPr>
        <w:t xml:space="preserve"> mL by using the conversion factor of moles to ml of oxygen of 22.391.</w:t>
      </w:r>
      <w:r w:rsidR="00273A85">
        <w:rPr>
          <w:sz w:val="18"/>
          <w:szCs w:val="18"/>
        </w:rPr>
        <w:t xml:space="preserve"> </w:t>
      </w:r>
    </w:p>
    <w:p w:rsidR="00024C81" w:rsidRDefault="00024C8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024C81" w:rsidRDefault="00024C81" w:rsidP="00024C81">
      <w:pPr>
        <w:pStyle w:val="Heading1"/>
      </w:pPr>
      <w:bookmarkStart w:id="2" w:name="_Toc343020460"/>
      <w:bookmarkStart w:id="3" w:name="_Toc343082483"/>
      <w:bookmarkStart w:id="4" w:name="_GoBack"/>
      <w:bookmarkEnd w:id="4"/>
      <w:r>
        <w:lastRenderedPageBreak/>
        <w:t xml:space="preserve">Conversion from </w:t>
      </w:r>
      <w:r w:rsidRPr="009B493E">
        <w:t xml:space="preserve">Detrital Organic Carbon Concentration </w:t>
      </w:r>
      <w:r>
        <w:t xml:space="preserve">(i.e. </w:t>
      </w:r>
      <w:proofErr w:type="spellStart"/>
      <w:r>
        <w:t>detoc</w:t>
      </w:r>
      <w:proofErr w:type="spellEnd"/>
      <w:r>
        <w:t xml:space="preserve">; </w:t>
      </w:r>
      <w:proofErr w:type="spellStart"/>
      <w:r w:rsidRPr="009B493E">
        <w:t>mol</w:t>
      </w:r>
      <w:proofErr w:type="spellEnd"/>
      <w:r w:rsidRPr="009B493E">
        <w:t xml:space="preserve"> m-3</w:t>
      </w:r>
      <w:r>
        <w:t xml:space="preserve">) to </w:t>
      </w:r>
      <w:r w:rsidRPr="009B493E">
        <w:t xml:space="preserve">Sinking Particulate Organic Carbon Flux </w:t>
      </w:r>
      <w:r>
        <w:t xml:space="preserve">(i.e. </w:t>
      </w:r>
      <w:proofErr w:type="spellStart"/>
      <w:r>
        <w:t>expc</w:t>
      </w:r>
      <w:proofErr w:type="spellEnd"/>
      <w:r>
        <w:t xml:space="preserve">; </w:t>
      </w:r>
      <w:proofErr w:type="spellStart"/>
      <w:r w:rsidRPr="009B493E">
        <w:t>mol</w:t>
      </w:r>
      <w:proofErr w:type="spellEnd"/>
      <w:r w:rsidRPr="009B493E">
        <w:t xml:space="preserve"> m-2 s-1</w:t>
      </w:r>
      <w:r>
        <w:t>)</w:t>
      </w:r>
      <w:bookmarkEnd w:id="2"/>
      <w:bookmarkEnd w:id="3"/>
    </w:p>
    <w:p w:rsidR="00024C81" w:rsidRPr="00396911" w:rsidRDefault="00024C81" w:rsidP="00024C81"/>
    <w:p w:rsidR="00024C81" w:rsidRDefault="00024C81" w:rsidP="00024C81">
      <w:pPr>
        <w:rPr>
          <w:rFonts w:ascii="Times New Roman" w:hAnsi="Times New Roman" w:cs="Times New Roman"/>
          <w:sz w:val="20"/>
          <w:szCs w:val="20"/>
        </w:rPr>
      </w:pPr>
      <w:r w:rsidRPr="00396911">
        <w:rPr>
          <w:rFonts w:ascii="Times New Roman" w:hAnsi="Times New Roman" w:cs="Times New Roman"/>
          <w:sz w:val="20"/>
          <w:szCs w:val="20"/>
        </w:rPr>
        <w:t xml:space="preserve">Data on the fluxes of different elements to the seafloor received variable attention among the different modeling groups of the CMIP5. As a result, of the eight research centers that modeled ocean biochemistry, five modeled Sinking Particulate Organic Carbon Flux (i.e.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). The other three, however, did model Detrital Organic Carbon Concentration (i.e.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detoc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), which can be converted to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by its multiplication with the sinking speed used in the model. To validate this conversion, we compared the data from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detoc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from the models that calculated both (see plot below).  This comparison reveals the difference between models that used variable sinking speeds (e.g. IPSL) and those that use a constant speed (e.g. GDFL-ESM2). Regardless of this difference, it is clear, however, the high correlation between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detoc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and the use of the former to predict the later. </w:t>
      </w:r>
    </w:p>
    <w:p w:rsidR="00024C81" w:rsidRPr="00396911" w:rsidRDefault="00024C81" w:rsidP="00024C81">
      <w:pPr>
        <w:rPr>
          <w:rFonts w:ascii="Times New Roman" w:hAnsi="Times New Roman" w:cs="Times New Roman"/>
          <w:sz w:val="20"/>
          <w:szCs w:val="20"/>
        </w:rPr>
      </w:pPr>
      <w:r w:rsidRPr="00396911">
        <w:rPr>
          <w:rFonts w:ascii="Times New Roman" w:hAnsi="Times New Roman" w:cs="Times New Roman"/>
          <w:sz w:val="20"/>
          <w:szCs w:val="20"/>
        </w:rPr>
        <w:t xml:space="preserve">The three modeling groups that calculated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detoc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but not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, assumed a constant sinking speed, which we used to calculate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396911">
        <w:rPr>
          <w:rFonts w:ascii="Times New Roman" w:hAnsi="Times New Roman" w:cs="Times New Roman"/>
          <w:sz w:val="20"/>
          <w:szCs w:val="20"/>
        </w:rPr>
        <w:t>detoc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>. The exact math used in those three cases was:</w:t>
      </w:r>
    </w:p>
    <w:p w:rsidR="00024C81" w:rsidRPr="00396911" w:rsidRDefault="00024C81" w:rsidP="00024C81">
      <w:pPr>
        <w:rPr>
          <w:rFonts w:ascii="Times New Roman" w:hAnsi="Times New Roman" w:cs="Times New Roman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expc=detoc*a*b*c</m:t>
          </m:r>
        </m:oMath>
      </m:oMathPara>
    </w:p>
    <w:p w:rsidR="00024C81" w:rsidRDefault="00024C81" w:rsidP="00024C81">
      <w:pPr>
        <w:rPr>
          <w:rFonts w:ascii="Times New Roman" w:hAnsi="Times New Roman" w:cs="Times New Roman"/>
          <w:sz w:val="20"/>
          <w:szCs w:val="20"/>
        </w:rPr>
      </w:pPr>
      <w:r w:rsidRPr="00396911">
        <w:rPr>
          <w:rFonts w:ascii="Times New Roman" w:hAnsi="Times New Roman" w:cs="Times New Roman"/>
          <w:sz w:val="20"/>
          <w:szCs w:val="20"/>
        </w:rPr>
        <w:t xml:space="preserve">where </w:t>
      </w:r>
      <w:r w:rsidRPr="0039691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396911">
        <w:rPr>
          <w:rFonts w:ascii="Times New Roman" w:hAnsi="Times New Roman" w:cs="Times New Roman"/>
          <w:sz w:val="20"/>
          <w:szCs w:val="20"/>
        </w:rPr>
        <w:t xml:space="preserve"> is the constant sinking speed used in the model [i.e. 0.000058 m/s (equivalent to 5 m/day) for the NorESM1-ME and MPI-ESM-LR models </w:t>
      </w:r>
      <w:proofErr w:type="gramStart"/>
      <w:r w:rsidRPr="00396911">
        <w:rPr>
          <w:rFonts w:ascii="Times New Roman" w:hAnsi="Times New Roman" w:cs="Times New Roman"/>
          <w:sz w:val="20"/>
          <w:szCs w:val="20"/>
        </w:rPr>
        <w:t>and  0.000081</w:t>
      </w:r>
      <w:proofErr w:type="gramEnd"/>
      <w:r w:rsidRPr="00396911">
        <w:rPr>
          <w:rFonts w:ascii="Times New Roman" w:hAnsi="Times New Roman" w:cs="Times New Roman"/>
          <w:sz w:val="20"/>
          <w:szCs w:val="20"/>
        </w:rPr>
        <w:t xml:space="preserve"> (m/s) (equivalent to  7 (m/d) for the CanESM2 model]. </w:t>
      </w:r>
      <w:r w:rsidRPr="00396911">
        <w:rPr>
          <w:rFonts w:ascii="Times New Roman" w:hAnsi="Times New Roman" w:cs="Times New Roman"/>
          <w:b/>
          <w:i/>
          <w:sz w:val="20"/>
          <w:szCs w:val="20"/>
        </w:rPr>
        <w:t>b</w:t>
      </w:r>
      <w:r w:rsidRPr="00396911">
        <w:rPr>
          <w:rFonts w:ascii="Times New Roman" w:hAnsi="Times New Roman" w:cs="Times New Roman"/>
          <w:sz w:val="20"/>
          <w:szCs w:val="20"/>
        </w:rPr>
        <w:t xml:space="preserve"> is the conversion factor from moles to grams of carbon (i.e. 12.0107) and </w:t>
      </w:r>
      <w:r w:rsidRPr="00396911"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396911">
        <w:rPr>
          <w:rFonts w:ascii="Times New Roman" w:hAnsi="Times New Roman" w:cs="Times New Roman"/>
          <w:sz w:val="20"/>
          <w:szCs w:val="20"/>
        </w:rPr>
        <w:t xml:space="preserve"> is the conversion factor from seconds to year (i.e. 31536000 sec in one year). The resulting value is </w:t>
      </w:r>
      <w:proofErr w:type="spellStart"/>
      <w:r w:rsidRPr="00396911">
        <w:rPr>
          <w:rFonts w:ascii="Times New Roman" w:hAnsi="Times New Roman" w:cs="Times New Roman"/>
          <w:b/>
          <w:i/>
          <w:sz w:val="20"/>
          <w:szCs w:val="20"/>
        </w:rPr>
        <w:t>expc</w:t>
      </w:r>
      <w:proofErr w:type="spellEnd"/>
      <w:r w:rsidRPr="00396911">
        <w:rPr>
          <w:rFonts w:ascii="Times New Roman" w:hAnsi="Times New Roman" w:cs="Times New Roman"/>
          <w:sz w:val="20"/>
          <w:szCs w:val="20"/>
        </w:rPr>
        <w:t xml:space="preserve"> in grams of Carbon per square meter per year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C81" w:rsidRPr="00396911" w:rsidRDefault="00024C81" w:rsidP="00024C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E221C5" wp14:editId="353655AA">
            <wp:extent cx="7041515" cy="17837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11">
        <w:rPr>
          <w:rFonts w:ascii="Times New Roman" w:hAnsi="Times New Roman" w:cs="Times New Roman"/>
          <w:sz w:val="20"/>
          <w:szCs w:val="20"/>
        </w:rPr>
        <w:t>.</w:t>
      </w:r>
    </w:p>
    <w:p w:rsidR="007D5CC4" w:rsidRDefault="007D5CC4" w:rsidP="00273A85">
      <w:pPr>
        <w:pStyle w:val="NoSpacing"/>
        <w:contextualSpacing/>
        <w:rPr>
          <w:sz w:val="18"/>
          <w:szCs w:val="18"/>
        </w:rPr>
      </w:pPr>
    </w:p>
    <w:sectPr w:rsidR="007D5CC4" w:rsidSect="00273A85">
      <w:headerReference w:type="default" r:id="rId74"/>
      <w:pgSz w:w="15840" w:h="12240" w:orient="landscape"/>
      <w:pgMar w:top="576" w:right="576" w:bottom="576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D" w:rsidRDefault="00027C4D" w:rsidP="00BF3CFB">
      <w:pPr>
        <w:spacing w:after="0" w:line="240" w:lineRule="auto"/>
      </w:pPr>
      <w:r>
        <w:separator/>
      </w:r>
    </w:p>
  </w:endnote>
  <w:endnote w:type="continuationSeparator" w:id="0">
    <w:p w:rsidR="00027C4D" w:rsidRDefault="00027C4D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D" w:rsidRDefault="00027C4D" w:rsidP="00BF3CFB">
      <w:pPr>
        <w:spacing w:after="0" w:line="240" w:lineRule="auto"/>
      </w:pPr>
      <w:r>
        <w:separator/>
      </w:r>
    </w:p>
  </w:footnote>
  <w:footnote w:type="continuationSeparator" w:id="0">
    <w:p w:rsidR="00027C4D" w:rsidRDefault="00027C4D" w:rsidP="00B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5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F7C" w:rsidRDefault="00542F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F7C" w:rsidRDefault="0054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51&lt;/item&gt;&lt;item&gt;1625&lt;/item&gt;&lt;item&gt;1962&lt;/item&gt;&lt;item&gt;1966&lt;/item&gt;&lt;item&gt;1983&lt;/item&gt;&lt;item&gt;2011&lt;/item&gt;&lt;item&gt;2012&lt;/item&gt;&lt;item&gt;2019&lt;/item&gt;&lt;/record-ids&gt;&lt;/item&gt;&lt;/Libraries&gt;"/>
  </w:docVars>
  <w:rsids>
    <w:rsidRoot w:val="004F531D"/>
    <w:rsid w:val="00012499"/>
    <w:rsid w:val="00014FE4"/>
    <w:rsid w:val="00015A11"/>
    <w:rsid w:val="00024C81"/>
    <w:rsid w:val="00027C4D"/>
    <w:rsid w:val="00033226"/>
    <w:rsid w:val="00037EA1"/>
    <w:rsid w:val="00041123"/>
    <w:rsid w:val="0004454C"/>
    <w:rsid w:val="00064DA1"/>
    <w:rsid w:val="000733E8"/>
    <w:rsid w:val="00083301"/>
    <w:rsid w:val="00085A06"/>
    <w:rsid w:val="00112ECB"/>
    <w:rsid w:val="001147A0"/>
    <w:rsid w:val="001430A4"/>
    <w:rsid w:val="00151BBC"/>
    <w:rsid w:val="001744BF"/>
    <w:rsid w:val="001D64C9"/>
    <w:rsid w:val="001E573B"/>
    <w:rsid w:val="001E6BB0"/>
    <w:rsid w:val="001F7A55"/>
    <w:rsid w:val="0020227A"/>
    <w:rsid w:val="00220E15"/>
    <w:rsid w:val="0025741A"/>
    <w:rsid w:val="00273A85"/>
    <w:rsid w:val="002924DA"/>
    <w:rsid w:val="00295232"/>
    <w:rsid w:val="002B3F1D"/>
    <w:rsid w:val="002C5BAF"/>
    <w:rsid w:val="003929FD"/>
    <w:rsid w:val="00396911"/>
    <w:rsid w:val="00405F79"/>
    <w:rsid w:val="00430B02"/>
    <w:rsid w:val="00440CFF"/>
    <w:rsid w:val="00477EF3"/>
    <w:rsid w:val="00485613"/>
    <w:rsid w:val="004A3FDB"/>
    <w:rsid w:val="004A6906"/>
    <w:rsid w:val="004F531D"/>
    <w:rsid w:val="00516527"/>
    <w:rsid w:val="00532BA5"/>
    <w:rsid w:val="00542F7C"/>
    <w:rsid w:val="00547499"/>
    <w:rsid w:val="0056226C"/>
    <w:rsid w:val="00620113"/>
    <w:rsid w:val="00683FF6"/>
    <w:rsid w:val="00686BAB"/>
    <w:rsid w:val="006A1F47"/>
    <w:rsid w:val="006A7ED0"/>
    <w:rsid w:val="006D34FB"/>
    <w:rsid w:val="006E0DFE"/>
    <w:rsid w:val="006E1209"/>
    <w:rsid w:val="006E4A87"/>
    <w:rsid w:val="006F04FA"/>
    <w:rsid w:val="00717A2D"/>
    <w:rsid w:val="00751064"/>
    <w:rsid w:val="0076321A"/>
    <w:rsid w:val="007743B7"/>
    <w:rsid w:val="007C0482"/>
    <w:rsid w:val="007C5484"/>
    <w:rsid w:val="007D5CC4"/>
    <w:rsid w:val="007E295B"/>
    <w:rsid w:val="007E7820"/>
    <w:rsid w:val="00802935"/>
    <w:rsid w:val="008125D3"/>
    <w:rsid w:val="00831EAD"/>
    <w:rsid w:val="008363F0"/>
    <w:rsid w:val="00881678"/>
    <w:rsid w:val="008A4C20"/>
    <w:rsid w:val="008C0101"/>
    <w:rsid w:val="008F40B7"/>
    <w:rsid w:val="008F6B8A"/>
    <w:rsid w:val="009044FA"/>
    <w:rsid w:val="00910605"/>
    <w:rsid w:val="00913EE4"/>
    <w:rsid w:val="00916629"/>
    <w:rsid w:val="0092253F"/>
    <w:rsid w:val="00925F9E"/>
    <w:rsid w:val="00943C81"/>
    <w:rsid w:val="00970D5B"/>
    <w:rsid w:val="009E4AE5"/>
    <w:rsid w:val="009E55FB"/>
    <w:rsid w:val="009F2E6A"/>
    <w:rsid w:val="00A26172"/>
    <w:rsid w:val="00A360D6"/>
    <w:rsid w:val="00A40210"/>
    <w:rsid w:val="00A52D64"/>
    <w:rsid w:val="00A6515B"/>
    <w:rsid w:val="00A76438"/>
    <w:rsid w:val="00A80AD6"/>
    <w:rsid w:val="00AA68BB"/>
    <w:rsid w:val="00B00D9C"/>
    <w:rsid w:val="00B22FD1"/>
    <w:rsid w:val="00B25672"/>
    <w:rsid w:val="00B43109"/>
    <w:rsid w:val="00B821F7"/>
    <w:rsid w:val="00B90E04"/>
    <w:rsid w:val="00B93B92"/>
    <w:rsid w:val="00B96EEB"/>
    <w:rsid w:val="00BA6151"/>
    <w:rsid w:val="00BC2EF6"/>
    <w:rsid w:val="00BF06D0"/>
    <w:rsid w:val="00BF2865"/>
    <w:rsid w:val="00BF3CFB"/>
    <w:rsid w:val="00C102B9"/>
    <w:rsid w:val="00C3401B"/>
    <w:rsid w:val="00C43AE2"/>
    <w:rsid w:val="00C61A11"/>
    <w:rsid w:val="00C80FBD"/>
    <w:rsid w:val="00C841B3"/>
    <w:rsid w:val="00CA1ACC"/>
    <w:rsid w:val="00CA799E"/>
    <w:rsid w:val="00CE116F"/>
    <w:rsid w:val="00CF2E84"/>
    <w:rsid w:val="00D513CC"/>
    <w:rsid w:val="00D617AD"/>
    <w:rsid w:val="00D62779"/>
    <w:rsid w:val="00D747BD"/>
    <w:rsid w:val="00D87EC3"/>
    <w:rsid w:val="00DD6337"/>
    <w:rsid w:val="00DE57A8"/>
    <w:rsid w:val="00DF7A84"/>
    <w:rsid w:val="00E063BE"/>
    <w:rsid w:val="00E11591"/>
    <w:rsid w:val="00E148FE"/>
    <w:rsid w:val="00E21F56"/>
    <w:rsid w:val="00E4201C"/>
    <w:rsid w:val="00EB50A4"/>
    <w:rsid w:val="00EC41E5"/>
    <w:rsid w:val="00ED257A"/>
    <w:rsid w:val="00EE385E"/>
    <w:rsid w:val="00F00DF6"/>
    <w:rsid w:val="00F02B0C"/>
    <w:rsid w:val="00F35FF7"/>
    <w:rsid w:val="00F440C7"/>
    <w:rsid w:val="00F62221"/>
    <w:rsid w:val="00F64647"/>
    <w:rsid w:val="00F66A1B"/>
    <w:rsid w:val="00F80DCD"/>
    <w:rsid w:val="00F84860"/>
    <w:rsid w:val="00F8626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c.hawaii.edu/mora/CMIP5/thetao_GFDL-CM3.html" TargetMode="External"/><Relationship Id="rId21" Type="http://schemas.openxmlformats.org/officeDocument/2006/relationships/hyperlink" Target="http://www.soc.hawaii.edu/mora/CMIP5/thetao_CESM1-CAM5.html" TargetMode="External"/><Relationship Id="rId42" Type="http://schemas.openxmlformats.org/officeDocument/2006/relationships/hyperlink" Target="http://www.soc.hawaii.edu/mora/CMIP5/o2_HadGEM2-ES.html" TargetMode="External"/><Relationship Id="rId47" Type="http://schemas.openxmlformats.org/officeDocument/2006/relationships/hyperlink" Target="http://www.soc.hawaii.edu/mora/CMIP5/ph_IPSL-CM5A-LR.html" TargetMode="External"/><Relationship Id="rId63" Type="http://schemas.openxmlformats.org/officeDocument/2006/relationships/hyperlink" Target="http://www.soc.hawaii.edu/mora/CMIP5/thetao_MPI-ESM-MR.html" TargetMode="External"/><Relationship Id="rId68" Type="http://schemas.openxmlformats.org/officeDocument/2006/relationships/hyperlink" Target="http://www.soc.hawaii.edu/mora/CMIP5/thetao_NorESM1-M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c.hawaii.edu/mora/CMIP5/ph_CanESM2.html" TargetMode="External"/><Relationship Id="rId29" Type="http://schemas.openxmlformats.org/officeDocument/2006/relationships/hyperlink" Target="http://www.soc.hawaii.edu/mora/CMIP5/o2_GFDL-ESM2G.html" TargetMode="External"/><Relationship Id="rId11" Type="http://schemas.openxmlformats.org/officeDocument/2006/relationships/hyperlink" Target="http://www.soc.hawaii.edu/mora/CMIP5/thetao_bcc-csm1-1-m.html" TargetMode="External"/><Relationship Id="rId24" Type="http://schemas.openxmlformats.org/officeDocument/2006/relationships/hyperlink" Target="http://www.soc.hawaii.edu/mora/CMIP5/thetao_FGOALS-g2.html" TargetMode="External"/><Relationship Id="rId32" Type="http://schemas.openxmlformats.org/officeDocument/2006/relationships/hyperlink" Target="http://www.soc.hawaii.edu/mora/CMIP5/Productivity_GFDL-ESM2M.html" TargetMode="External"/><Relationship Id="rId37" Type="http://schemas.openxmlformats.org/officeDocument/2006/relationships/hyperlink" Target="http://www.soc.hawaii.edu/mora/CMIP5/Productivity_HadGEM2-CC.html" TargetMode="External"/><Relationship Id="rId40" Type="http://schemas.openxmlformats.org/officeDocument/2006/relationships/hyperlink" Target="http://www.soc.hawaii.edu/mora/CMIP5/thetao_HadGEM2-ES.html" TargetMode="External"/><Relationship Id="rId45" Type="http://schemas.openxmlformats.org/officeDocument/2006/relationships/hyperlink" Target="http://www.soc.hawaii.edu/mora/CMIP5/Productivity_IPSL-CM5A-LR.html" TargetMode="External"/><Relationship Id="rId53" Type="http://schemas.openxmlformats.org/officeDocument/2006/relationships/hyperlink" Target="http://www.soc.hawaii.edu/mora/CMIP5/Productivity_IPSL-CM5B-LR.html" TargetMode="External"/><Relationship Id="rId58" Type="http://schemas.openxmlformats.org/officeDocument/2006/relationships/hyperlink" Target="http://www.soc.hawaii.edu/mora/CMIP5/thetao_MIROC-ESM-CHEM.html" TargetMode="External"/><Relationship Id="rId66" Type="http://schemas.openxmlformats.org/officeDocument/2006/relationships/hyperlink" Target="http://www.soc.hawaii.edu/mora/CMIP5/ph_MPI-ESM-MR.html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soc.hawaii.edu/mora/CMIP5/o2_MPI-ESM-LR.html" TargetMode="External"/><Relationship Id="rId19" Type="http://schemas.openxmlformats.org/officeDocument/2006/relationships/hyperlink" Target="http://www.soc.hawaii.edu/mora/CMIP5/o2_CESM1-BGC.html" TargetMode="External"/><Relationship Id="rId14" Type="http://schemas.openxmlformats.org/officeDocument/2006/relationships/hyperlink" Target="http://www.soc.hawaii.edu/mora/CMIP5/thetao_CanESM2.html" TargetMode="External"/><Relationship Id="rId22" Type="http://schemas.openxmlformats.org/officeDocument/2006/relationships/hyperlink" Target="http://www.soc.hawaii.edu/mora/CMIP5/thetao_CCSM4.html" TargetMode="External"/><Relationship Id="rId27" Type="http://schemas.openxmlformats.org/officeDocument/2006/relationships/hyperlink" Target="http://www.soc.hawaii.edu/mora/CMIP5/thetao_GFDL-ESM2G.html" TargetMode="External"/><Relationship Id="rId30" Type="http://schemas.openxmlformats.org/officeDocument/2006/relationships/hyperlink" Target="http://www.soc.hawaii.edu/mora/CMIP5/ph_GFDL-ESM2G.html" TargetMode="External"/><Relationship Id="rId35" Type="http://schemas.openxmlformats.org/officeDocument/2006/relationships/hyperlink" Target="http://www.soc.hawaii.edu/mora/CMIP5/thetao_GISS-E2-R.html" TargetMode="External"/><Relationship Id="rId43" Type="http://schemas.openxmlformats.org/officeDocument/2006/relationships/hyperlink" Target="http://www.soc.hawaii.edu/mora/CMIP5/ph_HadGEM2-ES.html" TargetMode="External"/><Relationship Id="rId48" Type="http://schemas.openxmlformats.org/officeDocument/2006/relationships/hyperlink" Target="http://www.soc.hawaii.edu/mora/CMIP5/thetao_IPSL-CM5A-MR.html" TargetMode="External"/><Relationship Id="rId56" Type="http://schemas.openxmlformats.org/officeDocument/2006/relationships/hyperlink" Target="http://www.soc.hawaii.edu/mora/CMIP5/thetao_MIROC5.html" TargetMode="External"/><Relationship Id="rId64" Type="http://schemas.openxmlformats.org/officeDocument/2006/relationships/hyperlink" Target="http://www.soc.hawaii.edu/mora/CMIP5/Productivity_MPI-ESM-MR.html" TargetMode="External"/><Relationship Id="rId69" Type="http://schemas.openxmlformats.org/officeDocument/2006/relationships/hyperlink" Target="http://www.soc.hawaii.edu/mora/CMIP5/thetao_NorESM1-ME.html" TargetMode="External"/><Relationship Id="rId8" Type="http://schemas.openxmlformats.org/officeDocument/2006/relationships/hyperlink" Target="http://www.soc.hawaii.edu/mora/CMIP5/thetao_ACCESS1-3.html" TargetMode="External"/><Relationship Id="rId51" Type="http://schemas.openxmlformats.org/officeDocument/2006/relationships/hyperlink" Target="http://www.soc.hawaii.edu/mora/CMIP5/ph_IPSL-CM5A-MR.html" TargetMode="External"/><Relationship Id="rId72" Type="http://schemas.openxmlformats.org/officeDocument/2006/relationships/hyperlink" Target="http://www.soc.hawaii.edu/mora/CMIP5/ph_NorESM1-M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c.hawaii.edu/mora/CMIP5/thetao_BNU-ESM.html" TargetMode="External"/><Relationship Id="rId17" Type="http://schemas.openxmlformats.org/officeDocument/2006/relationships/hyperlink" Target="http://www.soc.hawaii.edu/mora/CMIP5/thetao_CESM1-BGC.html" TargetMode="External"/><Relationship Id="rId25" Type="http://schemas.openxmlformats.org/officeDocument/2006/relationships/hyperlink" Target="http://www.soc.hawaii.edu/mora/CMIP5/thetao_FIO-ESM.html" TargetMode="External"/><Relationship Id="rId33" Type="http://schemas.openxmlformats.org/officeDocument/2006/relationships/hyperlink" Target="http://www.soc.hawaii.edu/mora/CMIP5/o2_GFDL-ESM2M.html" TargetMode="External"/><Relationship Id="rId38" Type="http://schemas.openxmlformats.org/officeDocument/2006/relationships/hyperlink" Target="http://www.soc.hawaii.edu/mora/CMIP5/o2_HadGEM2-CC.html" TargetMode="External"/><Relationship Id="rId46" Type="http://schemas.openxmlformats.org/officeDocument/2006/relationships/hyperlink" Target="http://www.soc.hawaii.edu/mora/CMIP5/o2_IPSL-CM5A-LR.html" TargetMode="External"/><Relationship Id="rId59" Type="http://schemas.openxmlformats.org/officeDocument/2006/relationships/hyperlink" Target="http://www.soc.hawaii.edu/mora/CMIP5/thetao_MPI-ESM-LR.html" TargetMode="External"/><Relationship Id="rId67" Type="http://schemas.openxmlformats.org/officeDocument/2006/relationships/hyperlink" Target="http://www.soc.hawaii.edu/mora/CMIP5/thetao_MRI-CGCM3.html" TargetMode="External"/><Relationship Id="rId20" Type="http://schemas.openxmlformats.org/officeDocument/2006/relationships/hyperlink" Target="http://www.soc.hawaii.edu/mora/CMIP5/ph_CESM1-BGC.html" TargetMode="External"/><Relationship Id="rId41" Type="http://schemas.openxmlformats.org/officeDocument/2006/relationships/hyperlink" Target="http://www.soc.hawaii.edu/mora/CMIP5/Productivity_HadGEM2-ES.html" TargetMode="External"/><Relationship Id="rId54" Type="http://schemas.openxmlformats.org/officeDocument/2006/relationships/hyperlink" Target="http://www.soc.hawaii.edu/mora/CMIP5/o2_IPSL-CM5B-LR.html" TargetMode="External"/><Relationship Id="rId62" Type="http://schemas.openxmlformats.org/officeDocument/2006/relationships/hyperlink" Target="http://www.soc.hawaii.edu/mora/CMIP5/ph_MPI-ESM-LR.html" TargetMode="External"/><Relationship Id="rId70" Type="http://schemas.openxmlformats.org/officeDocument/2006/relationships/hyperlink" Target="http://www.soc.hawaii.edu/mora/CMIP5/Productivity_NorESM1-ME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oc.hawaii.edu/mora/CMIP5/Productivity_CanESM2.html" TargetMode="External"/><Relationship Id="rId23" Type="http://schemas.openxmlformats.org/officeDocument/2006/relationships/hyperlink" Target="http://www.soc.hawaii.edu/mora/CMIP5/thetao_FGOALS-s2.html" TargetMode="External"/><Relationship Id="rId28" Type="http://schemas.openxmlformats.org/officeDocument/2006/relationships/hyperlink" Target="http://www.soc.hawaii.edu/mora/CMIP5/Productivity_GFDL-ESM2G.html" TargetMode="External"/><Relationship Id="rId36" Type="http://schemas.openxmlformats.org/officeDocument/2006/relationships/hyperlink" Target="http://www.soc.hawaii.edu/mora/CMIP5/thetao_HadGEM2-CC.html" TargetMode="External"/><Relationship Id="rId49" Type="http://schemas.openxmlformats.org/officeDocument/2006/relationships/hyperlink" Target="http://www.soc.hawaii.edu/mora/CMIP5/Productivity_IPSL-CM5A-MR.html" TargetMode="External"/><Relationship Id="rId57" Type="http://schemas.openxmlformats.org/officeDocument/2006/relationships/hyperlink" Target="http://www.soc.hawaii.edu/mora/CMIP5/thetao_MIROC-ESM.html" TargetMode="External"/><Relationship Id="rId10" Type="http://schemas.openxmlformats.org/officeDocument/2006/relationships/hyperlink" Target="http://www.soc.hawaii.edu/mora/CMIP5/thetao_bcc-csm1-1.html" TargetMode="External"/><Relationship Id="rId31" Type="http://schemas.openxmlformats.org/officeDocument/2006/relationships/hyperlink" Target="http://www.soc.hawaii.edu/mora/CMIP5/thetao_GFDL-ESM2M.html" TargetMode="External"/><Relationship Id="rId44" Type="http://schemas.openxmlformats.org/officeDocument/2006/relationships/hyperlink" Target="http://www.soc.hawaii.edu/mora/CMIP5/thetao_IPSL-CM5A-LR.html" TargetMode="External"/><Relationship Id="rId52" Type="http://schemas.openxmlformats.org/officeDocument/2006/relationships/hyperlink" Target="http://www.soc.hawaii.edu/mora/CMIP5/thetao_IPSL-CM5B-LR.html" TargetMode="External"/><Relationship Id="rId60" Type="http://schemas.openxmlformats.org/officeDocument/2006/relationships/hyperlink" Target="http://www.soc.hawaii.edu/mora/CMIP5/Productivity_MPI-ESM-LR.html" TargetMode="External"/><Relationship Id="rId65" Type="http://schemas.openxmlformats.org/officeDocument/2006/relationships/hyperlink" Target="http://www.soc.hawaii.edu/mora/CMIP5/o2_MPI-ESM-MR.html" TargetMode="External"/><Relationship Id="rId73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oc.hawaii.edu/mora/CMIP5/thetao_CSIRO-Mk3-6-0.html" TargetMode="External"/><Relationship Id="rId13" Type="http://schemas.openxmlformats.org/officeDocument/2006/relationships/hyperlink" Target="http://www.soc.hawaii.edu/mora/CMIP5/thetao_CNRM-CM5.html" TargetMode="External"/><Relationship Id="rId18" Type="http://schemas.openxmlformats.org/officeDocument/2006/relationships/hyperlink" Target="http://www.soc.hawaii.edu/mora/CMIP5/expc_CESM1-BGC.html" TargetMode="External"/><Relationship Id="rId39" Type="http://schemas.openxmlformats.org/officeDocument/2006/relationships/hyperlink" Target="http://www.soc.hawaii.edu/mora/CMIP5/ph_HadGEM2-CC.html" TargetMode="External"/><Relationship Id="rId34" Type="http://schemas.openxmlformats.org/officeDocument/2006/relationships/hyperlink" Target="http://www.soc.hawaii.edu/mora/CMIP5/ph_GFDL-ESM2M.html" TargetMode="External"/><Relationship Id="rId50" Type="http://schemas.openxmlformats.org/officeDocument/2006/relationships/hyperlink" Target="http://www.soc.hawaii.edu/mora/CMIP5/o2_IPSL-CM5A-MR.html" TargetMode="External"/><Relationship Id="rId55" Type="http://schemas.openxmlformats.org/officeDocument/2006/relationships/hyperlink" Target="http://www.soc.hawaii.edu/mora/CMIP5/ph_IPSL-CM5B-LR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soc.hawaii.edu/mora/CMIP5/thetao_ACCESS1-0.html" TargetMode="External"/><Relationship Id="rId71" Type="http://schemas.openxmlformats.org/officeDocument/2006/relationships/hyperlink" Target="http://www.soc.hawaii.edu/mora/CMIP5/o2_NorESM1-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Camilo Mora</cp:lastModifiedBy>
  <cp:revision>6</cp:revision>
  <cp:lastPrinted>2012-12-13T02:15:00Z</cp:lastPrinted>
  <dcterms:created xsi:type="dcterms:W3CDTF">2013-03-25T19:05:00Z</dcterms:created>
  <dcterms:modified xsi:type="dcterms:W3CDTF">2013-03-25T19:59:00Z</dcterms:modified>
</cp:coreProperties>
</file>