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3" w:rsidRPr="003D56BE" w:rsidRDefault="00E96B33" w:rsidP="00E96B33">
      <w:pPr>
        <w:spacing w:line="480" w:lineRule="auto"/>
        <w:jc w:val="both"/>
        <w:rPr>
          <w:sz w:val="24"/>
          <w:szCs w:val="24"/>
          <w:lang w:val="en-US"/>
        </w:rPr>
      </w:pPr>
      <w:proofErr w:type="gramStart"/>
      <w:r w:rsidRPr="003D56BE">
        <w:rPr>
          <w:b/>
          <w:sz w:val="24"/>
          <w:szCs w:val="24"/>
          <w:lang w:val="en-US"/>
        </w:rPr>
        <w:t>S2 Table.</w:t>
      </w:r>
      <w:proofErr w:type="gramEnd"/>
      <w:r w:rsidRPr="003D56BE">
        <w:rPr>
          <w:sz w:val="24"/>
          <w:szCs w:val="24"/>
          <w:lang w:val="en-US"/>
        </w:rPr>
        <w:t xml:space="preserve"> Abundance of individual plankton groups during peak </w:t>
      </w:r>
      <w:proofErr w:type="spellStart"/>
      <w:r w:rsidRPr="003D56BE">
        <w:rPr>
          <w:sz w:val="24"/>
          <w:szCs w:val="24"/>
          <w:lang w:val="en-US"/>
        </w:rPr>
        <w:t>chl</w:t>
      </w:r>
      <w:r w:rsidRPr="003D56BE">
        <w:rPr>
          <w:i/>
          <w:sz w:val="24"/>
          <w:szCs w:val="24"/>
          <w:lang w:val="en-US"/>
        </w:rPr>
        <w:t>a</w:t>
      </w:r>
      <w:proofErr w:type="spellEnd"/>
      <w:r w:rsidRPr="003D56BE">
        <w:rPr>
          <w:sz w:val="24"/>
          <w:szCs w:val="24"/>
          <w:lang w:val="en-US"/>
        </w:rPr>
        <w:t xml:space="preserve"> concentrations in phase II. For the community-based analysis we generally included functional groups rather than species. For copepods, we only included </w:t>
      </w:r>
      <w:proofErr w:type="spellStart"/>
      <w:r w:rsidRPr="003D56BE">
        <w:rPr>
          <w:i/>
          <w:sz w:val="24"/>
          <w:szCs w:val="24"/>
          <w:lang w:val="en-US"/>
        </w:rPr>
        <w:t>Pseudocalanus</w:t>
      </w:r>
      <w:proofErr w:type="spellEnd"/>
      <w:r w:rsidRPr="003D56BE">
        <w:rPr>
          <w:i/>
          <w:sz w:val="24"/>
          <w:szCs w:val="24"/>
          <w:lang w:val="en-US"/>
        </w:rPr>
        <w:t xml:space="preserve"> </w:t>
      </w:r>
      <w:r w:rsidRPr="003D56BE">
        <w:rPr>
          <w:sz w:val="24"/>
          <w:szCs w:val="24"/>
          <w:lang w:val="en-US"/>
        </w:rPr>
        <w:t>sp</w:t>
      </w:r>
      <w:r w:rsidRPr="003D56BE">
        <w:rPr>
          <w:i/>
          <w:sz w:val="24"/>
          <w:szCs w:val="24"/>
          <w:lang w:val="en-US"/>
        </w:rPr>
        <w:t>.</w:t>
      </w:r>
      <w:r w:rsidRPr="003D56BE">
        <w:rPr>
          <w:sz w:val="24"/>
          <w:szCs w:val="24"/>
          <w:lang w:val="en-US"/>
        </w:rPr>
        <w:t xml:space="preserve"> here since this species strongly dominated the copepod community both, numerically and in terms of biomass. (Note, however, that “</w:t>
      </w:r>
      <w:proofErr w:type="spellStart"/>
      <w:r w:rsidRPr="003D56BE">
        <w:rPr>
          <w:sz w:val="24"/>
          <w:szCs w:val="24"/>
          <w:lang w:val="en-US"/>
        </w:rPr>
        <w:t>nauplii</w:t>
      </w:r>
      <w:proofErr w:type="spellEnd"/>
      <w:r w:rsidRPr="003D56BE">
        <w:rPr>
          <w:sz w:val="24"/>
          <w:szCs w:val="24"/>
          <w:lang w:val="en-US"/>
        </w:rPr>
        <w:t xml:space="preserve">” includes copepod </w:t>
      </w:r>
      <w:proofErr w:type="spellStart"/>
      <w:r w:rsidRPr="003D56BE">
        <w:rPr>
          <w:sz w:val="24"/>
          <w:szCs w:val="24"/>
          <w:lang w:val="en-US"/>
        </w:rPr>
        <w:t>nauplii</w:t>
      </w:r>
      <w:proofErr w:type="spellEnd"/>
      <w:r w:rsidRPr="003D56BE">
        <w:rPr>
          <w:sz w:val="24"/>
          <w:szCs w:val="24"/>
          <w:lang w:val="en-US"/>
        </w:rPr>
        <w:t xml:space="preserve"> from all species since they were not distinguished taxonomically). This data was used for ANOSIM/NMDS analysis (Fig 8B).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820"/>
        <w:gridCol w:w="779"/>
        <w:gridCol w:w="820"/>
        <w:gridCol w:w="820"/>
        <w:gridCol w:w="820"/>
        <w:gridCol w:w="920"/>
        <w:gridCol w:w="760"/>
        <w:gridCol w:w="820"/>
        <w:gridCol w:w="820"/>
        <w:gridCol w:w="820"/>
        <w:gridCol w:w="820"/>
        <w:gridCol w:w="820"/>
        <w:gridCol w:w="820"/>
        <w:gridCol w:w="780"/>
      </w:tblGrid>
      <w:tr w:rsidR="00E96B33" w:rsidRPr="003D56BE" w:rsidTr="00EF047A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low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high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</w:tr>
      <w:tr w:rsidR="00E96B33" w:rsidRPr="003D56BE" w:rsidTr="00EF047A">
        <w:trPr>
          <w:trHeight w:val="5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parameter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M5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mean low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S.D. low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mean high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S.D. high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</w:tr>
      <w:tr w:rsidR="00E96B33" w:rsidRPr="003D56BE" w:rsidTr="00EF047A">
        <w:trPr>
          <w:trHeight w:val="5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days 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of peak bloom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t29, t31, t33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t27, t29, t31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t31, t33, t35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t27, t29, t31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t29, t31, t33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t27, t29, t31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t31, t33, t35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t29, t31, t33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t29, t31, t33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t31, t33, t35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Coscinodiscus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(cells 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Pico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19889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18497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37584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35095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28388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9760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Nano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112874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53643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85556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153363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89169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45649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61251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139931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85142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139643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100651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105324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34449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Crypto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111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Synecho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177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Bacteria (cells mL-1)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2688019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1805913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2499671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1861295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2410338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2253047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396284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1862048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2274261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2364174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1932908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2206126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2127903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219126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Virus like particles (</w:t>
            </w:r>
            <w:proofErr w:type="spellStart"/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</w:t>
            </w:r>
            <w:proofErr w:type="spellEnd"/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12791667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9649762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11174048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10761905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11685714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11212619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1158055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10504048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11674286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11328571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11378333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11254524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11227952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DE7932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DE793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434941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Pseudocalanus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(male)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482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Pseudocalanus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(female)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4685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961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Pseud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 Copepodites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4733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7773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4000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Nauplii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51198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48358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29995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50697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15488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41655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55075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38582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16088</w:t>
            </w:r>
          </w:p>
        </w:tc>
      </w:tr>
      <w:tr w:rsidR="00E96B33" w:rsidRPr="003D56BE" w:rsidTr="00EF047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Ciliates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3" w:rsidRPr="003D56BE" w:rsidRDefault="00E96B33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519</w:t>
            </w:r>
          </w:p>
        </w:tc>
      </w:tr>
    </w:tbl>
    <w:p w:rsidR="00E96B33" w:rsidRPr="003D56BE" w:rsidRDefault="00E96B33" w:rsidP="00E96B33">
      <w:pPr>
        <w:spacing w:line="48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0C78DC" w:rsidRPr="00E96B33" w:rsidRDefault="00DE7932" w:rsidP="00E96B33"/>
    <w:sectPr w:rsidR="000C78DC" w:rsidRPr="00E96B33" w:rsidSect="00963A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3"/>
    <w:rsid w:val="000444D8"/>
    <w:rsid w:val="008B5783"/>
    <w:rsid w:val="00963AF3"/>
    <w:rsid w:val="00DE7932"/>
    <w:rsid w:val="00E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Lennart</dc:creator>
  <cp:lastModifiedBy>Bach, Lennart</cp:lastModifiedBy>
  <cp:revision>3</cp:revision>
  <dcterms:created xsi:type="dcterms:W3CDTF">2016-06-30T07:34:00Z</dcterms:created>
  <dcterms:modified xsi:type="dcterms:W3CDTF">2016-07-26T21:16:00Z</dcterms:modified>
</cp:coreProperties>
</file>