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-Accent11"/>
        <w:tblpPr w:leftFromText="180" w:rightFromText="180" w:vertAnchor="text" w:horzAnchor="margin" w:tblpXSpec="center" w:tblpY="-419"/>
        <w:tblW w:w="10458" w:type="dxa"/>
        <w:tblLayout w:type="fixed"/>
        <w:tblLook w:val="04A0"/>
      </w:tblPr>
      <w:tblGrid>
        <w:gridCol w:w="1098"/>
        <w:gridCol w:w="1867"/>
        <w:gridCol w:w="7493"/>
      </w:tblGrid>
      <w:tr w:rsidR="003759E4" w:rsidRPr="00596C97" w:rsidTr="00F834E7">
        <w:trPr>
          <w:cnfStyle w:val="100000000000"/>
          <w:trHeight w:val="350"/>
        </w:trPr>
        <w:tc>
          <w:tcPr>
            <w:cnfStyle w:val="001000000100"/>
            <w:tcW w:w="10458" w:type="dxa"/>
            <w:gridSpan w:val="3"/>
          </w:tcPr>
          <w:p w:rsidR="003759E4" w:rsidRDefault="003759E4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Table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Summary description of four diagnostic tools developed and validated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INCLEN team for the study</w:t>
            </w:r>
          </w:p>
        </w:tc>
      </w:tr>
      <w:tr w:rsidR="003759E4" w:rsidRPr="00596C97" w:rsidTr="00F834E7">
        <w:trPr>
          <w:cnfStyle w:val="000000100000"/>
          <w:trHeight w:val="95"/>
        </w:trPr>
        <w:tc>
          <w:tcPr>
            <w:cnfStyle w:val="001000000000"/>
            <w:tcW w:w="1098" w:type="dxa"/>
          </w:tcPr>
          <w:p w:rsidR="003759E4" w:rsidRPr="00596C97" w:rsidRDefault="003759E4" w:rsidP="00082E86">
            <w:pPr>
              <w:tabs>
                <w:tab w:val="left" w:pos="1145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NDD assessed</w:t>
            </w:r>
          </w:p>
        </w:tc>
        <w:tc>
          <w:tcPr>
            <w:tcW w:w="1867" w:type="dxa"/>
          </w:tcPr>
          <w:p w:rsidR="003759E4" w:rsidRPr="00596C97" w:rsidRDefault="003759E4" w:rsidP="00082E86">
            <w:pPr>
              <w:tabs>
                <w:tab w:val="left" w:pos="1145"/>
              </w:tabs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Diagnostic Instrument</w:t>
            </w:r>
          </w:p>
        </w:tc>
        <w:tc>
          <w:tcPr>
            <w:tcW w:w="7493" w:type="dxa"/>
          </w:tcPr>
          <w:p w:rsidR="003759E4" w:rsidRPr="00596C97" w:rsidRDefault="003759E4" w:rsidP="00082E86">
            <w:pPr>
              <w:tabs>
                <w:tab w:val="left" w:pos="1145"/>
              </w:tabs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Brief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description </w:t>
            </w:r>
            <w:r w:rsidRPr="00596C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about the tool</w:t>
            </w:r>
          </w:p>
        </w:tc>
      </w:tr>
      <w:tr w:rsidR="00082E86" w:rsidRPr="00596C97" w:rsidTr="00F834E7">
        <w:trPr>
          <w:trHeight w:val="1785"/>
        </w:trPr>
        <w:tc>
          <w:tcPr>
            <w:cnfStyle w:val="001000000000"/>
            <w:tcW w:w="1098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Epilepsy</w:t>
            </w:r>
          </w:p>
        </w:tc>
        <w:tc>
          <w:tcPr>
            <w:tcW w:w="1867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INCLEN Diagnostic Tool for Epilepsy (INDT–EPI)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[1]</w:t>
            </w: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Tool: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INDT-EPI included questions in simple language to elicit the history of common seizure types (generalized and partial motor seizures, absence seizures and myoclonic seizures)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from the primary care provider for the child. The tool also elicits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the number of seizures and duration between first and last seizures, provoked seizures such as febrile seizures, seizures occurring during neuro-infections, with head trauma or during systemic illnesses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if the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seizure mimics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events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such as breath holding spells and syncopal attacks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Last question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is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on final diagnosis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.</w:t>
            </w:r>
          </w:p>
        </w:tc>
      </w:tr>
      <w:tr w:rsidR="00082E86" w:rsidRPr="00596C97" w:rsidTr="00F834E7">
        <w:trPr>
          <w:cnfStyle w:val="000000100000"/>
          <w:trHeight w:val="1905"/>
        </w:trPr>
        <w:tc>
          <w:tcPr>
            <w:cnfStyle w:val="001000000000"/>
            <w:tcW w:w="1098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Sensitivity and Specificity: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Children aged 2-9 years, enrolled by systematic random sampling at paediatric neurology out-patient clinics of three tertiary care centres were independently evaluated in a blinded manner by primary care physicians trained to administer the test, and by teams of two paediatric neurologists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The test for epilepsy had sensitivity and specificity of 85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8% and 95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3%; positive and negative predictive values of 94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0% and 88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5%; and positive and negative likelihood ratios of 18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 and 0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15, respectively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</w:tr>
      <w:tr w:rsidR="00082E86" w:rsidRPr="00596C97" w:rsidTr="00F834E7">
        <w:trPr>
          <w:trHeight w:val="2895"/>
        </w:trPr>
        <w:tc>
          <w:tcPr>
            <w:cnfStyle w:val="001000000000"/>
            <w:tcW w:w="1098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Neuro-motor Impairments including Cerebral Palsy (NMI–CP)</w:t>
            </w:r>
          </w:p>
        </w:tc>
        <w:tc>
          <w:tcPr>
            <w:tcW w:w="1867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INCLEN Diagnostic Tool for Neuro–Motor Impairment (INDT–NMI)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E25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Tool:</w:t>
            </w:r>
            <w:r w:rsidRPr="00596C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hi-IN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hi-IN"/>
              </w:rPr>
              <w:t xml:space="preserve"> </w:t>
            </w:r>
            <w:r w:rsidRPr="00596C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hi-IN"/>
              </w:rPr>
              <w:t>INDT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hi-IN"/>
              </w:rPr>
              <w:t>-</w:t>
            </w:r>
            <w:r w:rsidRPr="00596C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hi-IN"/>
              </w:rPr>
              <w:t>NMI developed comprises of three sections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.</w:t>
            </w:r>
          </w:p>
          <w:p w:rsidR="00000000" w:rsidRDefault="00082E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cnfStyle w:val="000000000000"/>
              <w:rPr>
                <w:sz w:val="20"/>
                <w:szCs w:val="20"/>
                <w:lang w:bidi="hi-IN"/>
              </w:rPr>
            </w:pPr>
            <w:r w:rsidRPr="00596C97">
              <w:rPr>
                <w:sz w:val="20"/>
                <w:szCs w:val="20"/>
                <w:lang w:bidi="hi-IN"/>
              </w:rPr>
              <w:t>Section-I (Triage questions) consists of four questions to elicit information from the parents/primary caregiver of the child regarding attainment of selected motor developmental milestones</w:t>
            </w:r>
            <w:r>
              <w:rPr>
                <w:sz w:val="20"/>
                <w:szCs w:val="20"/>
                <w:lang w:bidi="hi-IN"/>
              </w:rPr>
              <w:t xml:space="preserve">. </w:t>
            </w:r>
          </w:p>
          <w:p w:rsidR="00000000" w:rsidRDefault="00082E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cnfStyle w:val="000000000000"/>
              <w:rPr>
                <w:sz w:val="20"/>
                <w:szCs w:val="20"/>
              </w:rPr>
            </w:pPr>
            <w:r w:rsidRPr="00596C97">
              <w:rPr>
                <w:sz w:val="20"/>
                <w:szCs w:val="20"/>
                <w:lang w:bidi="hi-IN"/>
              </w:rPr>
              <w:t>Section</w:t>
            </w:r>
            <w:r w:rsidRPr="00596C97">
              <w:rPr>
                <w:i/>
                <w:iCs/>
                <w:sz w:val="20"/>
                <w:szCs w:val="20"/>
                <w:lang w:bidi="hi-IN"/>
              </w:rPr>
              <w:t>-</w:t>
            </w:r>
            <w:r w:rsidRPr="00596C97">
              <w:rPr>
                <w:sz w:val="20"/>
                <w:szCs w:val="20"/>
                <w:lang w:bidi="hi-IN"/>
              </w:rPr>
              <w:t>II (Observations): Physician makes three observations for assessing hand function, gait and muscle weakness</w:t>
            </w:r>
            <w:r>
              <w:rPr>
                <w:sz w:val="20"/>
                <w:szCs w:val="20"/>
                <w:lang w:bidi="hi-IN"/>
              </w:rPr>
              <w:t xml:space="preserve">. </w:t>
            </w:r>
            <w:r w:rsidRPr="00596C97">
              <w:rPr>
                <w:sz w:val="20"/>
                <w:szCs w:val="20"/>
                <w:lang w:bidi="hi-IN"/>
              </w:rPr>
              <w:t>Section</w:t>
            </w:r>
            <w:r w:rsidRPr="00596C97">
              <w:rPr>
                <w:i/>
                <w:iCs/>
                <w:sz w:val="20"/>
                <w:szCs w:val="20"/>
                <w:lang w:bidi="hi-IN"/>
              </w:rPr>
              <w:t>-</w:t>
            </w:r>
            <w:r w:rsidRPr="00596C97">
              <w:rPr>
                <w:sz w:val="20"/>
                <w:szCs w:val="20"/>
                <w:lang w:bidi="hi-IN"/>
              </w:rPr>
              <w:t>III consists of six questions, and the operator (graduate physician) does the neurological examination necessary for confirmation of NMI</w:t>
            </w:r>
            <w:r>
              <w:rPr>
                <w:sz w:val="20"/>
                <w:szCs w:val="20"/>
                <w:lang w:bidi="hi-IN"/>
              </w:rPr>
              <w:t>.</w:t>
            </w:r>
            <w:r w:rsidRPr="00596C97">
              <w:rPr>
                <w:sz w:val="20"/>
                <w:szCs w:val="20"/>
                <w:lang w:bidi="hi-IN"/>
              </w:rPr>
              <w:t>Th</w:t>
            </w:r>
            <w:r>
              <w:rPr>
                <w:sz w:val="20"/>
                <w:szCs w:val="20"/>
                <w:lang w:bidi="hi-IN"/>
              </w:rPr>
              <w:t>e</w:t>
            </w:r>
            <w:r w:rsidRPr="00596C97">
              <w:rPr>
                <w:sz w:val="20"/>
                <w:szCs w:val="20"/>
                <w:lang w:bidi="hi-IN"/>
              </w:rPr>
              <w:t>final diagnosis of NMI</w:t>
            </w:r>
            <w:r>
              <w:rPr>
                <w:sz w:val="20"/>
                <w:szCs w:val="20"/>
                <w:lang w:bidi="hi-IN"/>
              </w:rPr>
              <w:t>-CP</w:t>
            </w:r>
            <w:r w:rsidRPr="00596C97">
              <w:rPr>
                <w:sz w:val="20"/>
                <w:szCs w:val="20"/>
                <w:lang w:bidi="hi-IN"/>
              </w:rPr>
              <w:t xml:space="preserve"> is derived through an algorithm based on interpretation of three sections (</w:t>
            </w:r>
            <w:r w:rsidRPr="00596C97">
              <w:rPr>
                <w:i/>
                <w:iCs/>
                <w:sz w:val="20"/>
                <w:szCs w:val="20"/>
                <w:lang w:bidi="hi-IN"/>
              </w:rPr>
              <w:t>i</w:t>
            </w:r>
            <w:r>
              <w:rPr>
                <w:i/>
                <w:iCs/>
                <w:sz w:val="20"/>
                <w:szCs w:val="20"/>
                <w:lang w:bidi="hi-IN"/>
              </w:rPr>
              <w:t>.</w:t>
            </w:r>
            <w:r w:rsidRPr="00596C97">
              <w:rPr>
                <w:i/>
                <w:iCs/>
                <w:sz w:val="20"/>
                <w:szCs w:val="20"/>
                <w:lang w:bidi="hi-IN"/>
              </w:rPr>
              <w:t>e</w:t>
            </w:r>
            <w:r>
              <w:rPr>
                <w:i/>
                <w:iCs/>
                <w:sz w:val="20"/>
                <w:szCs w:val="20"/>
                <w:lang w:bidi="hi-IN"/>
              </w:rPr>
              <w:t>.</w:t>
            </w:r>
            <w:r w:rsidRPr="00596C97">
              <w:rPr>
                <w:sz w:val="20"/>
                <w:szCs w:val="20"/>
                <w:lang w:bidi="hi-IN"/>
              </w:rPr>
              <w:t>13 questions/items) and information on age at onset of symptoms, course of the illness and obvious clinical evidence of involvement of spinal cord (</w:t>
            </w:r>
            <w:r w:rsidRPr="00596C97">
              <w:rPr>
                <w:i/>
                <w:iCs/>
                <w:sz w:val="20"/>
                <w:szCs w:val="20"/>
                <w:lang w:bidi="hi-IN"/>
              </w:rPr>
              <w:t>i</w:t>
            </w:r>
            <w:r>
              <w:rPr>
                <w:i/>
                <w:iCs/>
                <w:sz w:val="20"/>
                <w:szCs w:val="20"/>
                <w:lang w:bidi="hi-IN"/>
              </w:rPr>
              <w:t>.</w:t>
            </w:r>
            <w:r w:rsidRPr="00596C97">
              <w:rPr>
                <w:i/>
                <w:iCs/>
                <w:sz w:val="20"/>
                <w:szCs w:val="20"/>
                <w:lang w:bidi="hi-IN"/>
              </w:rPr>
              <w:t>e</w:t>
            </w:r>
            <w:r>
              <w:rPr>
                <w:i/>
                <w:iCs/>
                <w:sz w:val="20"/>
                <w:szCs w:val="20"/>
                <w:lang w:bidi="hi-IN"/>
              </w:rPr>
              <w:t xml:space="preserve">. </w:t>
            </w:r>
            <w:r w:rsidRPr="00596C97">
              <w:rPr>
                <w:sz w:val="20"/>
                <w:szCs w:val="20"/>
                <w:lang w:bidi="hi-IN"/>
              </w:rPr>
              <w:t>pilonidal sinus, tuft of hair)</w:t>
            </w:r>
            <w:r>
              <w:rPr>
                <w:sz w:val="20"/>
                <w:szCs w:val="20"/>
                <w:lang w:bidi="hi-IN"/>
              </w:rPr>
              <w:t>.</w:t>
            </w:r>
          </w:p>
        </w:tc>
      </w:tr>
      <w:tr w:rsidR="00082E86" w:rsidRPr="00596C97" w:rsidTr="00F834E7">
        <w:trPr>
          <w:cnfStyle w:val="000000100000"/>
          <w:trHeight w:val="1851"/>
        </w:trPr>
        <w:tc>
          <w:tcPr>
            <w:cnfStyle w:val="001000000000"/>
            <w:tcW w:w="1098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Sensitivity and Specificity: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Children aged 2-9 years selected through systematic random sampling, underwent assessment for identification and classification of neuro-motor impairments (NMI)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The overall sensitivity of the INDTNMI was 75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4% and specificity was 86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8%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INDT-NMI helped graduate physicians to correctly classify 86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6% (112/129) children with NMI into different types (cerebral palsy, neuro-motor diseases and other NMI)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Graduate physicians assigned 40 children (8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8%) as ‘indeterminate’, 38 (95%) of whom had either NDD and/or NMI and thus merited referral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</w:tr>
      <w:tr w:rsidR="00082E86" w:rsidRPr="00596C97" w:rsidTr="00F834E7">
        <w:trPr>
          <w:trHeight w:val="2895"/>
        </w:trPr>
        <w:tc>
          <w:tcPr>
            <w:cnfStyle w:val="001000000000"/>
            <w:tcW w:w="1098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Autism Spectrum Disorders (ASD)</w:t>
            </w:r>
          </w:p>
        </w:tc>
        <w:tc>
          <w:tcPr>
            <w:tcW w:w="1867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INCLEN Diagnostic Tool for Autism Spectrum Disorders (INDT–ASD)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[3]</w:t>
            </w: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Tool: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The tool has two sections: Section A has 29 symptoms/items and Section B contains 12 questions corresponding to B and C domains of DSM-IV-TR, time of onset, duration of symptoms, score and diagnostic algorithm  trichotomous endorsement choice (‘yes’, ‘no’, ‘unsure/not applicable’) is given to the assessor/ interviewer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In addition, the clinician/psychologist has to make behavioral Observations on the child and score the item as well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For any discrepancy in parental response and interviewer’s assessment, it is indicated for each question whether parental response or assessor’s observation should take precedence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Each symptom/item is given a score of ‘1’ for ‘Yes’ and ‘0’ for ‘No’ or ‘unsure/not applicable’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Presence of ≥ 6 symptoms/item (or score of ≥ 6), with at least two symptom/item each from impaired communication and restricted repetitive pattern of behavior, is used to diagnose ASD</w:t>
            </w:r>
          </w:p>
        </w:tc>
      </w:tr>
      <w:tr w:rsidR="00082E86" w:rsidRPr="00596C97" w:rsidTr="00F834E7">
        <w:trPr>
          <w:cnfStyle w:val="000000100000"/>
          <w:trHeight w:val="1860"/>
        </w:trPr>
        <w:tc>
          <w:tcPr>
            <w:cnfStyle w:val="001000000000"/>
            <w:tcW w:w="1098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Sensitivity and Specificity: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 INDT-ASD and Childhood Autism Rating Scale (CARS) were administered in a randomly decided sequence by trained psychologist, followed by an expert evaluation by DSM-IV TR diagnostic criteria (gold standard)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.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The overall diagnostic accuracy (AUC=0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97, 95% CI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93, 0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99; </w:t>
            </w:r>
            <w:r w:rsidRPr="00596C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hi-IN"/>
              </w:rPr>
              <w:t>P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&lt;0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001) and validity (sensitivity 98%, specificity 95%,  positive predictive value 91%, negative predictive value 99%) of INDT-ASD for Autism spectrum disorder were high, taking expert diagnosis using DSM-IV-TR as gold standard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.</w:t>
            </w:r>
          </w:p>
        </w:tc>
      </w:tr>
      <w:tr w:rsidR="00082E86" w:rsidRPr="00596C97" w:rsidTr="00F834E7">
        <w:trPr>
          <w:trHeight w:val="2340"/>
        </w:trPr>
        <w:tc>
          <w:tcPr>
            <w:cnfStyle w:val="001000000000"/>
            <w:tcW w:w="1098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Attention Deficit Hyperactivity Disorder (ADHD)</w:t>
            </w:r>
          </w:p>
        </w:tc>
        <w:tc>
          <w:tcPr>
            <w:tcW w:w="1867" w:type="dxa"/>
            <w:vMerge w:val="restart"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INCLEN Diagnostic Tool for Attention Deficit Hyperactivity Disorder (INDT–ADHD)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[4]</w:t>
            </w: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Tool: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INDT-ADHD consists of 18 items related to ‘inattention’ and ‘hyperactivity/impulsiveness’ symptoms (9 items each) while Section B consists of 8 items pertaining to onset, duration, functional impairment and a diagnostic algorithm to arrive at the diagnosis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Scoring is by parental endorsement with ‘1’ for ‘Yes’ and ‘0’ for ‘No’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A score of six or more of the 9 items related to ‘only inattention’, ‘only ‘hyperactivity/ impulsiveness’ and ‘both’ indicate ‘predominantly inattentive’, ‘predominantly hyperactive/impulsive’, and ‘combined subtypes’, respectively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.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These are considered significant if the duration of symptom is ≥6 months, onset is before 7 years of age, and manifestation are in at least two settings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.</w:t>
            </w:r>
          </w:p>
        </w:tc>
      </w:tr>
      <w:tr w:rsidR="00082E86" w:rsidRPr="00596C97" w:rsidTr="00F834E7">
        <w:trPr>
          <w:cnfStyle w:val="000000100000"/>
          <w:trHeight w:val="1877"/>
        </w:trPr>
        <w:tc>
          <w:tcPr>
            <w:cnfStyle w:val="001000000000"/>
            <w:tcW w:w="1098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/>
          </w:tcPr>
          <w:p w:rsidR="00082E86" w:rsidRPr="00596C97" w:rsidRDefault="00082E86" w:rsidP="00082E86">
            <w:pPr>
              <w:tabs>
                <w:tab w:val="left" w:pos="1145"/>
              </w:tabs>
              <w:spacing w:after="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93" w:type="dxa"/>
          </w:tcPr>
          <w:p w:rsidR="00082E86" w:rsidRPr="00596C97" w:rsidRDefault="00082E86" w:rsidP="00082E86">
            <w:pPr>
              <w:autoSpaceDE w:val="0"/>
              <w:autoSpaceDN w:val="0"/>
              <w:adjustRightInd w:val="0"/>
              <w:spacing w:after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</w:pPr>
            <w:r w:rsidRPr="00596C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hi-IN"/>
              </w:rPr>
              <w:t>Sensitivity and Specificity: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INDT-ADHD and Connor’s 3 Parent Rating Scale (C3PS) were administered, followed by an expert evaluation by DSM-IV-TR diagnostic criteria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Psychometric parameters of INDT-ADHD for differentiating attention deficit hyperactivity disorder and normal children were: sensitivity 87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7%, specificity 97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2%, positive predictive value 98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0% and negative predictive value 83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3%, whereas for differentiating from other neuro-developmental disorders were 87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7%, 42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9%, 58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1% and 79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•</w:t>
            </w:r>
            <w:r w:rsidRPr="00596C97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4%, respectively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</w:tr>
    </w:tbl>
    <w:p w:rsidR="00875922" w:rsidRPr="00875922" w:rsidRDefault="00875922" w:rsidP="00875922">
      <w:pPr>
        <w:rPr>
          <w:b/>
          <w:bCs/>
          <w:sz w:val="20"/>
          <w:szCs w:val="20"/>
        </w:rPr>
      </w:pPr>
    </w:p>
    <w:p w:rsidR="00E25104" w:rsidRDefault="00E25104" w:rsidP="00563695">
      <w:pPr>
        <w:tabs>
          <w:tab w:val="left" w:pos="1145"/>
        </w:tabs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5104" w:rsidRDefault="00E25104" w:rsidP="00E25104">
      <w:pPr>
        <w:tabs>
          <w:tab w:val="left" w:pos="1145"/>
        </w:tabs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E25104" w:rsidRPr="00E25104" w:rsidRDefault="00E25104" w:rsidP="00E25104">
      <w:pPr>
        <w:pStyle w:val="ListParagraph"/>
        <w:numPr>
          <w:ilvl w:val="0"/>
          <w:numId w:val="2"/>
        </w:numPr>
        <w:tabs>
          <w:tab w:val="left" w:pos="1145"/>
        </w:tabs>
        <w:spacing w:before="100" w:beforeAutospacing="1" w:after="0"/>
        <w:jc w:val="both"/>
        <w:rPr>
          <w:sz w:val="20"/>
          <w:szCs w:val="20"/>
        </w:rPr>
      </w:pPr>
      <w:r w:rsidRPr="00E25104">
        <w:rPr>
          <w:sz w:val="20"/>
          <w:szCs w:val="20"/>
        </w:rPr>
        <w:t>Konanki R, Mishra D, Gulati S, Aneja S, Deshmukh V, Silberberg D,  et al. INCLEN Diagnostic Tool for Epilepsy (INDT-EPI) for Primary Care Physicians: Development and Validation. Indian Pediatr 2014; 51: 539-543.</w:t>
      </w:r>
    </w:p>
    <w:p w:rsidR="00E25104" w:rsidRPr="00E25104" w:rsidRDefault="00E25104" w:rsidP="00E25104">
      <w:pPr>
        <w:pStyle w:val="ListParagraph"/>
        <w:numPr>
          <w:ilvl w:val="0"/>
          <w:numId w:val="2"/>
        </w:numPr>
        <w:tabs>
          <w:tab w:val="left" w:pos="1145"/>
        </w:tabs>
        <w:spacing w:before="100" w:beforeAutospacing="1" w:after="0"/>
        <w:jc w:val="both"/>
        <w:rPr>
          <w:sz w:val="20"/>
          <w:szCs w:val="20"/>
        </w:rPr>
      </w:pPr>
      <w:r w:rsidRPr="00E25104">
        <w:rPr>
          <w:sz w:val="20"/>
          <w:szCs w:val="20"/>
        </w:rPr>
        <w:t>Gulati S, Aneja S, Juneja M, Mukherjee S, Deshmukh V, Silberberg, et al. INCLEN Diagnostic Tool for Neuro-motor Impairment (INDT-NMI) for Primary Care Physician: Development and Validation. Indian Pediatr 2014; 51: 613-619.</w:t>
      </w:r>
    </w:p>
    <w:p w:rsidR="00E25104" w:rsidRDefault="00E25104" w:rsidP="00E25104">
      <w:pPr>
        <w:pStyle w:val="ListParagraph"/>
        <w:numPr>
          <w:ilvl w:val="0"/>
          <w:numId w:val="2"/>
        </w:numPr>
        <w:tabs>
          <w:tab w:val="left" w:pos="1145"/>
        </w:tabs>
        <w:spacing w:before="100" w:beforeAutospacing="1" w:after="0"/>
        <w:jc w:val="both"/>
        <w:rPr>
          <w:sz w:val="20"/>
          <w:szCs w:val="20"/>
        </w:rPr>
      </w:pPr>
      <w:r w:rsidRPr="00E25104">
        <w:rPr>
          <w:sz w:val="20"/>
          <w:szCs w:val="20"/>
        </w:rPr>
        <w:t>Juneja M, Mishra D, Russell PS, Gulati S, Deshmukh V, Tudu P, et al. INCLEN Diagnostic Tool for Autism Spectrum Disorder (INDT-ASD): Development and Validation. Indian Paediatr 2014; 51: 359-365.</w:t>
      </w:r>
    </w:p>
    <w:p w:rsidR="00E25104" w:rsidRDefault="00E25104" w:rsidP="00E25104">
      <w:pPr>
        <w:pStyle w:val="ListParagraph"/>
        <w:numPr>
          <w:ilvl w:val="0"/>
          <w:numId w:val="2"/>
        </w:numPr>
        <w:tabs>
          <w:tab w:val="left" w:pos="1145"/>
        </w:tabs>
        <w:spacing w:before="100" w:beforeAutospacing="1" w:after="0"/>
        <w:jc w:val="both"/>
        <w:rPr>
          <w:sz w:val="20"/>
          <w:szCs w:val="20"/>
        </w:rPr>
      </w:pPr>
      <w:r w:rsidRPr="00E25104">
        <w:rPr>
          <w:sz w:val="20"/>
          <w:szCs w:val="20"/>
        </w:rPr>
        <w:t>Mukherjee S, Aneja S, Russell PS, Gulati S, Deshmukh V, Sagar R, et al. INCLEN Diagnostic Tool for Attention Deficit Hyperactivity Disorder (INDT-ADHD): Development and Validation</w:t>
      </w:r>
      <w:r>
        <w:rPr>
          <w:sz w:val="20"/>
          <w:szCs w:val="20"/>
        </w:rPr>
        <w:t xml:space="preserve">. </w:t>
      </w:r>
      <w:r w:rsidRPr="00E25104">
        <w:rPr>
          <w:sz w:val="20"/>
          <w:szCs w:val="20"/>
        </w:rPr>
        <w:t>Indian Paediatr 2014; 51: 457-62.</w:t>
      </w:r>
    </w:p>
    <w:p w:rsidR="00F1378C" w:rsidRDefault="00F1378C" w:rsidP="003B7385">
      <w:pPr>
        <w:rPr>
          <w:rFonts w:ascii="Times New Roman" w:hAnsi="Times New Roman" w:cs="Times New Roman"/>
          <w:sz w:val="20"/>
          <w:szCs w:val="20"/>
        </w:rPr>
      </w:pPr>
    </w:p>
    <w:sectPr w:rsidR="00F1378C" w:rsidSect="00F137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27" w:rsidRDefault="00537827" w:rsidP="00A178FF">
      <w:pPr>
        <w:spacing w:after="0" w:line="240" w:lineRule="auto"/>
      </w:pPr>
      <w:r>
        <w:separator/>
      </w:r>
    </w:p>
  </w:endnote>
  <w:endnote w:type="continuationSeparator" w:id="1">
    <w:p w:rsidR="00537827" w:rsidRDefault="00537827" w:rsidP="00A1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1" w:rsidRDefault="00B97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27" w:rsidRDefault="00537827" w:rsidP="00A178FF">
      <w:pPr>
        <w:spacing w:after="0" w:line="240" w:lineRule="auto"/>
      </w:pPr>
      <w:r>
        <w:separator/>
      </w:r>
    </w:p>
  </w:footnote>
  <w:footnote w:type="continuationSeparator" w:id="1">
    <w:p w:rsidR="00537827" w:rsidRDefault="00537827" w:rsidP="00A1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1" w:rsidRDefault="00B97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880"/>
    <w:multiLevelType w:val="hybridMultilevel"/>
    <w:tmpl w:val="6BDEA838"/>
    <w:lvl w:ilvl="0" w:tplc="01E06CE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664"/>
    <w:multiLevelType w:val="hybridMultilevel"/>
    <w:tmpl w:val="B25CF158"/>
    <w:lvl w:ilvl="0" w:tplc="6A7C7B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4228F"/>
    <w:multiLevelType w:val="hybridMultilevel"/>
    <w:tmpl w:val="0E96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3B66"/>
    <w:multiLevelType w:val="hybridMultilevel"/>
    <w:tmpl w:val="079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F46C8"/>
    <w:multiLevelType w:val="hybridMultilevel"/>
    <w:tmpl w:val="CBE253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45"/>
    <w:rsid w:val="00005541"/>
    <w:rsid w:val="00005708"/>
    <w:rsid w:val="00005FE8"/>
    <w:rsid w:val="00031CC4"/>
    <w:rsid w:val="00035872"/>
    <w:rsid w:val="00057A82"/>
    <w:rsid w:val="000658E7"/>
    <w:rsid w:val="000802AE"/>
    <w:rsid w:val="00082E86"/>
    <w:rsid w:val="00090F39"/>
    <w:rsid w:val="00092452"/>
    <w:rsid w:val="000C3007"/>
    <w:rsid w:val="00104A99"/>
    <w:rsid w:val="00113BEF"/>
    <w:rsid w:val="0012086B"/>
    <w:rsid w:val="001277EE"/>
    <w:rsid w:val="001453B8"/>
    <w:rsid w:val="00166F5F"/>
    <w:rsid w:val="00180C75"/>
    <w:rsid w:val="00184B75"/>
    <w:rsid w:val="001A1F7D"/>
    <w:rsid w:val="001A7182"/>
    <w:rsid w:val="001B35F8"/>
    <w:rsid w:val="001C7A04"/>
    <w:rsid w:val="00204392"/>
    <w:rsid w:val="00204858"/>
    <w:rsid w:val="00205207"/>
    <w:rsid w:val="00244A2F"/>
    <w:rsid w:val="00250187"/>
    <w:rsid w:val="00261E2D"/>
    <w:rsid w:val="002639A5"/>
    <w:rsid w:val="002978D8"/>
    <w:rsid w:val="002A0268"/>
    <w:rsid w:val="002A55F6"/>
    <w:rsid w:val="002B21DC"/>
    <w:rsid w:val="002B523A"/>
    <w:rsid w:val="002D0E5B"/>
    <w:rsid w:val="002D6527"/>
    <w:rsid w:val="002E29FF"/>
    <w:rsid w:val="002E4422"/>
    <w:rsid w:val="002E559D"/>
    <w:rsid w:val="00304C68"/>
    <w:rsid w:val="00334106"/>
    <w:rsid w:val="00340D4C"/>
    <w:rsid w:val="00341572"/>
    <w:rsid w:val="00345335"/>
    <w:rsid w:val="0034751A"/>
    <w:rsid w:val="00354BD4"/>
    <w:rsid w:val="00355256"/>
    <w:rsid w:val="00363CBD"/>
    <w:rsid w:val="003759E4"/>
    <w:rsid w:val="0038013C"/>
    <w:rsid w:val="0038479A"/>
    <w:rsid w:val="00384F03"/>
    <w:rsid w:val="0039351E"/>
    <w:rsid w:val="003A07F1"/>
    <w:rsid w:val="003B2601"/>
    <w:rsid w:val="003B62EA"/>
    <w:rsid w:val="003B7385"/>
    <w:rsid w:val="003C22CC"/>
    <w:rsid w:val="003D141F"/>
    <w:rsid w:val="003D5141"/>
    <w:rsid w:val="003D5B11"/>
    <w:rsid w:val="003F27DF"/>
    <w:rsid w:val="00405B0E"/>
    <w:rsid w:val="00412703"/>
    <w:rsid w:val="004174C6"/>
    <w:rsid w:val="004203D2"/>
    <w:rsid w:val="00422415"/>
    <w:rsid w:val="00431772"/>
    <w:rsid w:val="00432A01"/>
    <w:rsid w:val="00440ECC"/>
    <w:rsid w:val="00450254"/>
    <w:rsid w:val="0046713F"/>
    <w:rsid w:val="00472BE8"/>
    <w:rsid w:val="0049080A"/>
    <w:rsid w:val="00493206"/>
    <w:rsid w:val="004B1434"/>
    <w:rsid w:val="004C4EDC"/>
    <w:rsid w:val="004D1C1A"/>
    <w:rsid w:val="004D33DE"/>
    <w:rsid w:val="004E1D21"/>
    <w:rsid w:val="00504454"/>
    <w:rsid w:val="00522070"/>
    <w:rsid w:val="00530B81"/>
    <w:rsid w:val="0053279E"/>
    <w:rsid w:val="00537827"/>
    <w:rsid w:val="00547675"/>
    <w:rsid w:val="00563695"/>
    <w:rsid w:val="005800D2"/>
    <w:rsid w:val="00587EAA"/>
    <w:rsid w:val="005940D7"/>
    <w:rsid w:val="00596C97"/>
    <w:rsid w:val="005A63EB"/>
    <w:rsid w:val="005A6DC9"/>
    <w:rsid w:val="005B2F0C"/>
    <w:rsid w:val="005C40FB"/>
    <w:rsid w:val="005D44A7"/>
    <w:rsid w:val="005E1CC7"/>
    <w:rsid w:val="005E484D"/>
    <w:rsid w:val="005F08D8"/>
    <w:rsid w:val="005F4BBE"/>
    <w:rsid w:val="00606C45"/>
    <w:rsid w:val="00612D4F"/>
    <w:rsid w:val="00615416"/>
    <w:rsid w:val="00627B42"/>
    <w:rsid w:val="00631059"/>
    <w:rsid w:val="006471F3"/>
    <w:rsid w:val="006472BA"/>
    <w:rsid w:val="00654AC6"/>
    <w:rsid w:val="0067300B"/>
    <w:rsid w:val="00673282"/>
    <w:rsid w:val="00673F76"/>
    <w:rsid w:val="00680E2A"/>
    <w:rsid w:val="00684178"/>
    <w:rsid w:val="00685BDF"/>
    <w:rsid w:val="00686614"/>
    <w:rsid w:val="00696C15"/>
    <w:rsid w:val="006A11DD"/>
    <w:rsid w:val="006A3DE4"/>
    <w:rsid w:val="006B02B0"/>
    <w:rsid w:val="006B0BB4"/>
    <w:rsid w:val="006C5F5C"/>
    <w:rsid w:val="006D36ED"/>
    <w:rsid w:val="006D75DB"/>
    <w:rsid w:val="006E01EE"/>
    <w:rsid w:val="006E65CC"/>
    <w:rsid w:val="006F4D4E"/>
    <w:rsid w:val="006F55D1"/>
    <w:rsid w:val="00700BAF"/>
    <w:rsid w:val="00703C0E"/>
    <w:rsid w:val="007413B0"/>
    <w:rsid w:val="00746DFA"/>
    <w:rsid w:val="007568EE"/>
    <w:rsid w:val="007627BB"/>
    <w:rsid w:val="00764245"/>
    <w:rsid w:val="007B0351"/>
    <w:rsid w:val="007B4F2B"/>
    <w:rsid w:val="007C08B8"/>
    <w:rsid w:val="007D7D6E"/>
    <w:rsid w:val="007F061E"/>
    <w:rsid w:val="00800279"/>
    <w:rsid w:val="00803087"/>
    <w:rsid w:val="00806191"/>
    <w:rsid w:val="0081227C"/>
    <w:rsid w:val="00821273"/>
    <w:rsid w:val="00823456"/>
    <w:rsid w:val="00823967"/>
    <w:rsid w:val="008268DB"/>
    <w:rsid w:val="008304FA"/>
    <w:rsid w:val="00854775"/>
    <w:rsid w:val="00864166"/>
    <w:rsid w:val="00864BBF"/>
    <w:rsid w:val="00867A35"/>
    <w:rsid w:val="0087058F"/>
    <w:rsid w:val="008747DE"/>
    <w:rsid w:val="008755F9"/>
    <w:rsid w:val="00875922"/>
    <w:rsid w:val="00875AF7"/>
    <w:rsid w:val="00882A5C"/>
    <w:rsid w:val="00883E91"/>
    <w:rsid w:val="00886B0F"/>
    <w:rsid w:val="008A3209"/>
    <w:rsid w:val="008C5805"/>
    <w:rsid w:val="00901231"/>
    <w:rsid w:val="00907EFB"/>
    <w:rsid w:val="00913BA4"/>
    <w:rsid w:val="009267BD"/>
    <w:rsid w:val="00932AFC"/>
    <w:rsid w:val="009416C8"/>
    <w:rsid w:val="009748E4"/>
    <w:rsid w:val="00975E18"/>
    <w:rsid w:val="009802CE"/>
    <w:rsid w:val="0098600A"/>
    <w:rsid w:val="00993E60"/>
    <w:rsid w:val="009C25B5"/>
    <w:rsid w:val="009E25DF"/>
    <w:rsid w:val="009E2FAB"/>
    <w:rsid w:val="00A16E3A"/>
    <w:rsid w:val="00A178FF"/>
    <w:rsid w:val="00A17C3B"/>
    <w:rsid w:val="00A31782"/>
    <w:rsid w:val="00A41958"/>
    <w:rsid w:val="00A43BC4"/>
    <w:rsid w:val="00A47623"/>
    <w:rsid w:val="00A52850"/>
    <w:rsid w:val="00A55087"/>
    <w:rsid w:val="00A75EB5"/>
    <w:rsid w:val="00A8015D"/>
    <w:rsid w:val="00A810D8"/>
    <w:rsid w:val="00A866C5"/>
    <w:rsid w:val="00A87BFA"/>
    <w:rsid w:val="00A911B2"/>
    <w:rsid w:val="00A95DBE"/>
    <w:rsid w:val="00AA0D27"/>
    <w:rsid w:val="00AA408E"/>
    <w:rsid w:val="00AB3D29"/>
    <w:rsid w:val="00AB74AD"/>
    <w:rsid w:val="00AC030E"/>
    <w:rsid w:val="00AC4205"/>
    <w:rsid w:val="00AD3C0F"/>
    <w:rsid w:val="00AE33E6"/>
    <w:rsid w:val="00B04311"/>
    <w:rsid w:val="00B05020"/>
    <w:rsid w:val="00B15CAE"/>
    <w:rsid w:val="00B320D0"/>
    <w:rsid w:val="00B34685"/>
    <w:rsid w:val="00B506A8"/>
    <w:rsid w:val="00B57480"/>
    <w:rsid w:val="00B62FD1"/>
    <w:rsid w:val="00B66EE9"/>
    <w:rsid w:val="00B77E1A"/>
    <w:rsid w:val="00B932B2"/>
    <w:rsid w:val="00B939C0"/>
    <w:rsid w:val="00B978D1"/>
    <w:rsid w:val="00BA65F7"/>
    <w:rsid w:val="00BB0AFD"/>
    <w:rsid w:val="00BB178F"/>
    <w:rsid w:val="00BB695F"/>
    <w:rsid w:val="00BD03C9"/>
    <w:rsid w:val="00BD0578"/>
    <w:rsid w:val="00C15999"/>
    <w:rsid w:val="00C1748B"/>
    <w:rsid w:val="00C2165E"/>
    <w:rsid w:val="00C25E40"/>
    <w:rsid w:val="00C36890"/>
    <w:rsid w:val="00C61A4D"/>
    <w:rsid w:val="00C6635B"/>
    <w:rsid w:val="00C73DB7"/>
    <w:rsid w:val="00C77284"/>
    <w:rsid w:val="00C77B08"/>
    <w:rsid w:val="00C82701"/>
    <w:rsid w:val="00C849CB"/>
    <w:rsid w:val="00C93933"/>
    <w:rsid w:val="00C95D81"/>
    <w:rsid w:val="00CC3CF4"/>
    <w:rsid w:val="00CC6F55"/>
    <w:rsid w:val="00CD0AD8"/>
    <w:rsid w:val="00CF30AC"/>
    <w:rsid w:val="00CF6A92"/>
    <w:rsid w:val="00D533BA"/>
    <w:rsid w:val="00D565A9"/>
    <w:rsid w:val="00D81CAD"/>
    <w:rsid w:val="00D96C04"/>
    <w:rsid w:val="00D97610"/>
    <w:rsid w:val="00DA0451"/>
    <w:rsid w:val="00DA0C27"/>
    <w:rsid w:val="00DB29A4"/>
    <w:rsid w:val="00DD4D99"/>
    <w:rsid w:val="00DE4025"/>
    <w:rsid w:val="00E00AB8"/>
    <w:rsid w:val="00E1428F"/>
    <w:rsid w:val="00E25104"/>
    <w:rsid w:val="00E32AD7"/>
    <w:rsid w:val="00E43C47"/>
    <w:rsid w:val="00E60A7B"/>
    <w:rsid w:val="00E615E2"/>
    <w:rsid w:val="00E6183E"/>
    <w:rsid w:val="00E6584B"/>
    <w:rsid w:val="00E741AB"/>
    <w:rsid w:val="00E776D4"/>
    <w:rsid w:val="00E800A7"/>
    <w:rsid w:val="00E87931"/>
    <w:rsid w:val="00E94D8C"/>
    <w:rsid w:val="00E96F7E"/>
    <w:rsid w:val="00EA4268"/>
    <w:rsid w:val="00EA4611"/>
    <w:rsid w:val="00EB341A"/>
    <w:rsid w:val="00EB7A72"/>
    <w:rsid w:val="00EC485C"/>
    <w:rsid w:val="00EC53DD"/>
    <w:rsid w:val="00EE4593"/>
    <w:rsid w:val="00EE4E4C"/>
    <w:rsid w:val="00EE6A0F"/>
    <w:rsid w:val="00F05F8B"/>
    <w:rsid w:val="00F131FA"/>
    <w:rsid w:val="00F1378C"/>
    <w:rsid w:val="00F1526C"/>
    <w:rsid w:val="00F33067"/>
    <w:rsid w:val="00F4714A"/>
    <w:rsid w:val="00F511DD"/>
    <w:rsid w:val="00F513CE"/>
    <w:rsid w:val="00F513E3"/>
    <w:rsid w:val="00F52463"/>
    <w:rsid w:val="00F573D1"/>
    <w:rsid w:val="00F62555"/>
    <w:rsid w:val="00F63FFD"/>
    <w:rsid w:val="00F7672B"/>
    <w:rsid w:val="00F834E7"/>
    <w:rsid w:val="00F920C3"/>
    <w:rsid w:val="00FA2A7D"/>
    <w:rsid w:val="00FA32AD"/>
    <w:rsid w:val="00FA3B7E"/>
    <w:rsid w:val="00FA6162"/>
    <w:rsid w:val="00FB676D"/>
    <w:rsid w:val="00FD2008"/>
    <w:rsid w:val="00FE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1">
    <w:name w:val="List Table 2 - Accent 21"/>
    <w:basedOn w:val="TableNormal"/>
    <w:uiPriority w:val="47"/>
    <w:rsid w:val="00345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092452"/>
    <w:pPr>
      <w:spacing w:after="0" w:line="240" w:lineRule="auto"/>
    </w:pPr>
    <w:rPr>
      <w:rFonts w:eastAsiaTheme="minorEastAsia"/>
      <w:color w:val="C45911" w:themeColor="accent2" w:themeShade="BF"/>
      <w:lang w:eastAsia="en-IN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D8"/>
    <w:rPr>
      <w:rFonts w:ascii="Segoe UI" w:hAnsi="Segoe UI" w:cs="Segoe UI"/>
      <w:sz w:val="18"/>
      <w:szCs w:val="18"/>
      <w:lang w:val="en-GB"/>
    </w:rPr>
  </w:style>
  <w:style w:type="table" w:customStyle="1" w:styleId="LightShading-Accent21">
    <w:name w:val="Light Shading - Accent 21"/>
    <w:basedOn w:val="TableNormal"/>
    <w:uiPriority w:val="60"/>
    <w:rsid w:val="00A178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78F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8FF"/>
    <w:pPr>
      <w:spacing w:after="0" w:line="240" w:lineRule="auto"/>
    </w:pPr>
    <w:rPr>
      <w:rFonts w:eastAsiaTheme="minorEastAsia"/>
      <w:sz w:val="20"/>
      <w:szCs w:val="20"/>
      <w:lang w:val="en-IN"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8FF"/>
    <w:rPr>
      <w:rFonts w:eastAsiaTheme="minorEastAsia"/>
      <w:sz w:val="20"/>
      <w:szCs w:val="20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A178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5A9"/>
    <w:pPr>
      <w:spacing w:line="240" w:lineRule="auto"/>
    </w:pPr>
    <w:rPr>
      <w:rFonts w:eastAsiaTheme="minorEastAsia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5A9"/>
    <w:rPr>
      <w:rFonts w:eastAsiaTheme="minorEastAsia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5636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636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36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75"/>
    <w:rPr>
      <w:rFonts w:eastAsia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75"/>
    <w:rPr>
      <w:rFonts w:eastAsiaTheme="minorEastAsia"/>
      <w:b/>
      <w:bCs/>
      <w:sz w:val="20"/>
      <w:szCs w:val="20"/>
      <w:lang w:val="en-GB" w:eastAsia="en-IN"/>
    </w:rPr>
  </w:style>
  <w:style w:type="character" w:customStyle="1" w:styleId="m4627686608875899949spelle">
    <w:name w:val="m_4627686608875899949spelle"/>
    <w:basedOn w:val="DefaultParagraphFont"/>
    <w:rsid w:val="00F1378C"/>
  </w:style>
  <w:style w:type="table" w:customStyle="1" w:styleId="ListTable3-Accent11">
    <w:name w:val="List Table 3 - Accent 11"/>
    <w:basedOn w:val="TableNormal"/>
    <w:uiPriority w:val="48"/>
    <w:rsid w:val="000C3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25"/>
    <w:rPr>
      <w:lang w:val="en-GB"/>
    </w:rPr>
  </w:style>
  <w:style w:type="table" w:customStyle="1" w:styleId="ListTable3-Accent12">
    <w:name w:val="List Table 3 - Accent 12"/>
    <w:basedOn w:val="TableNormal"/>
    <w:uiPriority w:val="48"/>
    <w:rsid w:val="00E80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B978D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1584-BC2D-43DA-A88A-4B935BE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inclen</dc:creator>
  <cp:lastModifiedBy>IEO</cp:lastModifiedBy>
  <cp:revision>7</cp:revision>
  <cp:lastPrinted>2018-05-08T12:22:00Z</cp:lastPrinted>
  <dcterms:created xsi:type="dcterms:W3CDTF">2018-05-27T07:25:00Z</dcterms:created>
  <dcterms:modified xsi:type="dcterms:W3CDTF">2018-06-02T16:35:00Z</dcterms:modified>
</cp:coreProperties>
</file>