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CF690" w14:textId="3105BDE3" w:rsidR="00B527A3" w:rsidRPr="001057CB" w:rsidRDefault="00B527A3" w:rsidP="00AB521F">
      <w:pPr>
        <w:rPr>
          <w:rFonts w:ascii="Times New Roman" w:hAnsi="Times New Roman"/>
          <w:b/>
          <w:szCs w:val="20"/>
        </w:rPr>
      </w:pPr>
      <w:r w:rsidRPr="001057CB">
        <w:rPr>
          <w:rFonts w:ascii="Times New Roman" w:hAnsi="Times New Roman"/>
          <w:b/>
          <w:szCs w:val="20"/>
        </w:rPr>
        <w:t xml:space="preserve">Supplementary </w:t>
      </w:r>
      <w:r w:rsidR="00691359">
        <w:rPr>
          <w:rFonts w:ascii="Times New Roman" w:hAnsi="Times New Roman"/>
          <w:b/>
          <w:szCs w:val="20"/>
        </w:rPr>
        <w:t>Text</w:t>
      </w:r>
    </w:p>
    <w:p w14:paraId="3B63602B" w14:textId="77777777" w:rsidR="00B527A3" w:rsidRPr="001057CB" w:rsidRDefault="00B527A3" w:rsidP="00AB521F">
      <w:pPr>
        <w:rPr>
          <w:rFonts w:ascii="Times New Roman" w:hAnsi="Times New Roman"/>
          <w:b/>
          <w:szCs w:val="20"/>
        </w:rPr>
      </w:pPr>
    </w:p>
    <w:p w14:paraId="7BC2830C" w14:textId="0C266758" w:rsidR="00AB521F" w:rsidRPr="001057CB" w:rsidRDefault="00191051" w:rsidP="00191051">
      <w:pPr>
        <w:rPr>
          <w:rFonts w:ascii="Times New Roman" w:hAnsi="Times New Roman"/>
          <w:b/>
          <w:szCs w:val="20"/>
        </w:rPr>
      </w:pPr>
      <w:r>
        <w:rPr>
          <w:rFonts w:ascii="Times New Roman" w:hAnsi="Times New Roman"/>
          <w:b/>
          <w:szCs w:val="20"/>
        </w:rPr>
        <w:t>A</w:t>
      </w:r>
      <w:r w:rsidRPr="001057CB">
        <w:rPr>
          <w:rFonts w:ascii="Times New Roman" w:hAnsi="Times New Roman"/>
          <w:b/>
          <w:szCs w:val="20"/>
        </w:rPr>
        <w:t xml:space="preserve"> meta-regression approach </w:t>
      </w:r>
      <w:r>
        <w:rPr>
          <w:rFonts w:ascii="Times New Roman" w:hAnsi="Times New Roman"/>
          <w:b/>
          <w:szCs w:val="20"/>
        </w:rPr>
        <w:t>to predicting t</w:t>
      </w:r>
      <w:r w:rsidR="00AB521F" w:rsidRPr="001057CB">
        <w:rPr>
          <w:rFonts w:ascii="Times New Roman" w:hAnsi="Times New Roman"/>
          <w:b/>
          <w:szCs w:val="20"/>
        </w:rPr>
        <w:t xml:space="preserve">he </w:t>
      </w:r>
      <w:r>
        <w:rPr>
          <w:rFonts w:ascii="Times New Roman" w:hAnsi="Times New Roman"/>
          <w:b/>
          <w:szCs w:val="20"/>
        </w:rPr>
        <w:t>incidence</w:t>
      </w:r>
      <w:r w:rsidRPr="001057CB">
        <w:rPr>
          <w:rFonts w:ascii="Times New Roman" w:hAnsi="Times New Roman"/>
          <w:b/>
          <w:szCs w:val="20"/>
        </w:rPr>
        <w:t xml:space="preserve"> </w:t>
      </w:r>
      <w:r w:rsidR="00AB521F" w:rsidRPr="001057CB">
        <w:rPr>
          <w:rFonts w:ascii="Times New Roman" w:hAnsi="Times New Roman"/>
          <w:b/>
          <w:szCs w:val="20"/>
        </w:rPr>
        <w:t>of typhoid fever in low</w:t>
      </w:r>
      <w:r>
        <w:rPr>
          <w:rFonts w:ascii="Times New Roman" w:hAnsi="Times New Roman"/>
          <w:b/>
          <w:szCs w:val="20"/>
        </w:rPr>
        <w:t>-</w:t>
      </w:r>
      <w:r w:rsidR="00AB521F" w:rsidRPr="001057CB">
        <w:rPr>
          <w:rFonts w:ascii="Times New Roman" w:hAnsi="Times New Roman"/>
          <w:b/>
          <w:szCs w:val="20"/>
        </w:rPr>
        <w:t xml:space="preserve"> and </w:t>
      </w:r>
      <w:r>
        <w:rPr>
          <w:rFonts w:ascii="Times New Roman" w:hAnsi="Times New Roman"/>
          <w:b/>
          <w:szCs w:val="20"/>
        </w:rPr>
        <w:t>middle-</w:t>
      </w:r>
      <w:r w:rsidR="00AB521F" w:rsidRPr="001057CB">
        <w:rPr>
          <w:rFonts w:ascii="Times New Roman" w:hAnsi="Times New Roman"/>
          <w:b/>
          <w:szCs w:val="20"/>
        </w:rPr>
        <w:t xml:space="preserve">income countries </w:t>
      </w:r>
    </w:p>
    <w:p w14:paraId="69EA64E9" w14:textId="77777777" w:rsidR="00B527A3" w:rsidRPr="001057CB" w:rsidRDefault="00B527A3" w:rsidP="00191051">
      <w:pPr>
        <w:rPr>
          <w:rFonts w:ascii="Times New Roman" w:hAnsi="Times New Roman"/>
          <w:b/>
          <w:szCs w:val="20"/>
        </w:rPr>
      </w:pPr>
    </w:p>
    <w:p w14:paraId="3D065DF7" w14:textId="646C1D77" w:rsidR="00191051" w:rsidRPr="001F0955" w:rsidRDefault="00191051" w:rsidP="0090002C">
      <w:pPr>
        <w:rPr>
          <w:rFonts w:ascii="Times New Roman" w:hAnsi="Times New Roman"/>
          <w:sz w:val="20"/>
          <w:szCs w:val="20"/>
          <w:vertAlign w:val="superscript"/>
        </w:rPr>
      </w:pPr>
      <w:r w:rsidRPr="001F0955">
        <w:rPr>
          <w:rFonts w:ascii="Times New Roman" w:hAnsi="Times New Roman"/>
          <w:sz w:val="20"/>
          <w:szCs w:val="20"/>
        </w:rPr>
        <w:t>Marina Antillón</w:t>
      </w:r>
      <w:r w:rsidRPr="001F0955">
        <w:rPr>
          <w:rFonts w:ascii="Times New Roman" w:hAnsi="Times New Roman"/>
          <w:sz w:val="20"/>
          <w:szCs w:val="20"/>
          <w:vertAlign w:val="superscript"/>
        </w:rPr>
        <w:t>1</w:t>
      </w:r>
      <w:r>
        <w:rPr>
          <w:rFonts w:ascii="Times New Roman" w:hAnsi="Times New Roman"/>
          <w:sz w:val="20"/>
          <w:szCs w:val="20"/>
          <w:vertAlign w:val="superscript"/>
        </w:rPr>
        <w:t>*</w:t>
      </w:r>
      <w:r w:rsidRPr="001F0955">
        <w:rPr>
          <w:rFonts w:ascii="Times New Roman" w:hAnsi="Times New Roman"/>
          <w:sz w:val="20"/>
          <w:szCs w:val="20"/>
        </w:rPr>
        <w:t>, Joshua L</w:t>
      </w:r>
      <w:r>
        <w:rPr>
          <w:rFonts w:ascii="Times New Roman" w:hAnsi="Times New Roman"/>
          <w:sz w:val="20"/>
          <w:szCs w:val="20"/>
        </w:rPr>
        <w:t xml:space="preserve">. </w:t>
      </w:r>
      <w:r w:rsidRPr="001F0955">
        <w:rPr>
          <w:rFonts w:ascii="Times New Roman" w:hAnsi="Times New Roman"/>
          <w:sz w:val="20"/>
          <w:szCs w:val="20"/>
        </w:rPr>
        <w:t>Warren</w:t>
      </w:r>
      <w:r w:rsidRPr="001F0955">
        <w:rPr>
          <w:rFonts w:ascii="Times New Roman" w:hAnsi="Times New Roman"/>
          <w:sz w:val="20"/>
          <w:szCs w:val="20"/>
          <w:vertAlign w:val="superscript"/>
        </w:rPr>
        <w:t>2</w:t>
      </w:r>
      <w:r w:rsidRPr="001F0955">
        <w:rPr>
          <w:rFonts w:ascii="Times New Roman" w:hAnsi="Times New Roman"/>
          <w:sz w:val="20"/>
          <w:szCs w:val="20"/>
        </w:rPr>
        <w:t>, Forrest W</w:t>
      </w:r>
      <w:r>
        <w:rPr>
          <w:rFonts w:ascii="Times New Roman" w:hAnsi="Times New Roman"/>
          <w:sz w:val="20"/>
          <w:szCs w:val="20"/>
        </w:rPr>
        <w:t xml:space="preserve">. </w:t>
      </w:r>
      <w:r w:rsidRPr="001F0955">
        <w:rPr>
          <w:rFonts w:ascii="Times New Roman" w:hAnsi="Times New Roman"/>
          <w:sz w:val="20"/>
          <w:szCs w:val="20"/>
        </w:rPr>
        <w:t>Crawford</w:t>
      </w:r>
      <w:r w:rsidRPr="001F0955">
        <w:rPr>
          <w:rFonts w:ascii="Times New Roman" w:hAnsi="Times New Roman"/>
          <w:sz w:val="20"/>
          <w:szCs w:val="20"/>
          <w:vertAlign w:val="superscript"/>
        </w:rPr>
        <w:t>2</w:t>
      </w:r>
      <w:r w:rsidRPr="001F0955">
        <w:rPr>
          <w:rFonts w:ascii="Times New Roman" w:hAnsi="Times New Roman"/>
          <w:sz w:val="20"/>
          <w:szCs w:val="20"/>
        </w:rPr>
        <w:t>, Daniel M</w:t>
      </w:r>
      <w:r>
        <w:rPr>
          <w:rFonts w:ascii="Times New Roman" w:hAnsi="Times New Roman"/>
          <w:sz w:val="20"/>
          <w:szCs w:val="20"/>
        </w:rPr>
        <w:t xml:space="preserve">. </w:t>
      </w:r>
      <w:r w:rsidRPr="001F0955">
        <w:rPr>
          <w:rFonts w:ascii="Times New Roman" w:hAnsi="Times New Roman"/>
          <w:sz w:val="20"/>
          <w:szCs w:val="20"/>
        </w:rPr>
        <w:t>Weinberger</w:t>
      </w:r>
      <w:r w:rsidRPr="001F0955">
        <w:rPr>
          <w:rFonts w:ascii="Times New Roman" w:hAnsi="Times New Roman"/>
          <w:sz w:val="20"/>
          <w:szCs w:val="20"/>
          <w:vertAlign w:val="superscript"/>
        </w:rPr>
        <w:t>1</w:t>
      </w:r>
      <w:r w:rsidRPr="001F0955">
        <w:rPr>
          <w:rFonts w:ascii="Times New Roman" w:hAnsi="Times New Roman"/>
          <w:sz w:val="20"/>
          <w:szCs w:val="20"/>
        </w:rPr>
        <w:t>, Esra Kürüm</w:t>
      </w:r>
      <w:r w:rsidR="00FB1943">
        <w:rPr>
          <w:rFonts w:ascii="Times New Roman" w:hAnsi="Times New Roman"/>
          <w:sz w:val="20"/>
          <w:szCs w:val="20"/>
          <w:vertAlign w:val="superscript"/>
        </w:rPr>
        <w:t>3</w:t>
      </w:r>
      <w:r w:rsidRPr="001F0955">
        <w:rPr>
          <w:rFonts w:ascii="Times New Roman" w:hAnsi="Times New Roman"/>
          <w:sz w:val="20"/>
          <w:szCs w:val="20"/>
        </w:rPr>
        <w:t>, Gi Deok Pak</w:t>
      </w:r>
      <w:r w:rsidR="00FB1943">
        <w:rPr>
          <w:rFonts w:ascii="Times New Roman" w:hAnsi="Times New Roman"/>
          <w:sz w:val="20"/>
          <w:szCs w:val="20"/>
          <w:vertAlign w:val="superscript"/>
        </w:rPr>
        <w:t>4</w:t>
      </w:r>
      <w:r>
        <w:rPr>
          <w:rFonts w:ascii="Times New Roman" w:hAnsi="Times New Roman"/>
          <w:sz w:val="20"/>
          <w:szCs w:val="20"/>
        </w:rPr>
        <w:t xml:space="preserve">, </w:t>
      </w:r>
      <w:r w:rsidRPr="001F0955">
        <w:rPr>
          <w:rFonts w:ascii="Times New Roman" w:hAnsi="Times New Roman"/>
          <w:sz w:val="20"/>
          <w:szCs w:val="20"/>
        </w:rPr>
        <w:t>Florian Marks</w:t>
      </w:r>
      <w:r w:rsidR="00FB1943">
        <w:rPr>
          <w:rFonts w:ascii="Times New Roman" w:hAnsi="Times New Roman"/>
          <w:sz w:val="20"/>
          <w:szCs w:val="20"/>
          <w:vertAlign w:val="superscript"/>
        </w:rPr>
        <w:t>4</w:t>
      </w:r>
      <w:r w:rsidRPr="001F0955">
        <w:rPr>
          <w:rFonts w:ascii="Times New Roman" w:hAnsi="Times New Roman"/>
          <w:sz w:val="20"/>
          <w:szCs w:val="20"/>
        </w:rPr>
        <w:t>, Virginia E</w:t>
      </w:r>
      <w:r>
        <w:rPr>
          <w:rFonts w:ascii="Times New Roman" w:hAnsi="Times New Roman"/>
          <w:sz w:val="20"/>
          <w:szCs w:val="20"/>
        </w:rPr>
        <w:t xml:space="preserve">. </w:t>
      </w:r>
      <w:r w:rsidRPr="001F0955">
        <w:rPr>
          <w:rFonts w:ascii="Times New Roman" w:hAnsi="Times New Roman"/>
          <w:sz w:val="20"/>
          <w:szCs w:val="20"/>
        </w:rPr>
        <w:t>Pitzer</w:t>
      </w:r>
      <w:r w:rsidRPr="001F0955">
        <w:rPr>
          <w:rFonts w:ascii="Times New Roman" w:hAnsi="Times New Roman"/>
          <w:sz w:val="20"/>
          <w:szCs w:val="20"/>
          <w:vertAlign w:val="superscript"/>
        </w:rPr>
        <w:t>1</w:t>
      </w:r>
    </w:p>
    <w:p w14:paraId="2C032E4D" w14:textId="77777777" w:rsidR="00B5615B" w:rsidRPr="001F0955" w:rsidRDefault="00B5615B" w:rsidP="00191051">
      <w:pPr>
        <w:rPr>
          <w:rFonts w:ascii="Times New Roman" w:hAnsi="Times New Roman"/>
          <w:sz w:val="20"/>
          <w:szCs w:val="20"/>
        </w:rPr>
      </w:pPr>
    </w:p>
    <w:p w14:paraId="111404AF" w14:textId="77777777" w:rsidR="00B5615B" w:rsidRPr="001F0955" w:rsidRDefault="00B5615B" w:rsidP="00191051">
      <w:pPr>
        <w:rPr>
          <w:rFonts w:ascii="Times New Roman" w:hAnsi="Times New Roman"/>
          <w:sz w:val="20"/>
          <w:szCs w:val="20"/>
        </w:rPr>
      </w:pPr>
    </w:p>
    <w:p w14:paraId="480476B4" w14:textId="77777777" w:rsidR="00B5615B" w:rsidRPr="001F0955" w:rsidRDefault="00B5615B" w:rsidP="00D64E09">
      <w:pPr>
        <w:rPr>
          <w:rFonts w:ascii="Times New Roman" w:hAnsi="Times New Roman"/>
          <w:i/>
          <w:sz w:val="20"/>
          <w:szCs w:val="20"/>
        </w:rPr>
      </w:pPr>
      <w:r w:rsidRPr="001F0955">
        <w:rPr>
          <w:rFonts w:ascii="Times New Roman" w:hAnsi="Times New Roman"/>
          <w:i/>
          <w:sz w:val="20"/>
          <w:szCs w:val="20"/>
          <w:vertAlign w:val="superscript"/>
        </w:rPr>
        <w:t>1</w:t>
      </w:r>
      <w:r w:rsidRPr="001F0955">
        <w:rPr>
          <w:rFonts w:ascii="Times New Roman" w:hAnsi="Times New Roman"/>
          <w:i/>
          <w:sz w:val="20"/>
          <w:szCs w:val="20"/>
        </w:rPr>
        <w:t>Department of Epidemiology of Microbial Diseases, Yale School of Public Health, New Haven, CT 06520-8034 USA</w:t>
      </w:r>
    </w:p>
    <w:p w14:paraId="6E4ABC04" w14:textId="77777777" w:rsidR="00B5615B" w:rsidRPr="001F0955" w:rsidRDefault="00B5615B" w:rsidP="00B5615B">
      <w:pPr>
        <w:rPr>
          <w:rFonts w:ascii="Times New Roman" w:hAnsi="Times New Roman"/>
          <w:sz w:val="20"/>
          <w:szCs w:val="20"/>
        </w:rPr>
      </w:pPr>
    </w:p>
    <w:p w14:paraId="441BE37C" w14:textId="77777777" w:rsidR="00B5615B" w:rsidRPr="001F0955" w:rsidRDefault="00B5615B" w:rsidP="00B5615B">
      <w:pPr>
        <w:outlineLvl w:val="0"/>
        <w:rPr>
          <w:rFonts w:ascii="Times New Roman" w:hAnsi="Times New Roman"/>
          <w:i/>
          <w:sz w:val="20"/>
          <w:szCs w:val="20"/>
        </w:rPr>
      </w:pPr>
      <w:r w:rsidRPr="001F0955">
        <w:rPr>
          <w:rFonts w:ascii="Times New Roman" w:hAnsi="Times New Roman"/>
          <w:i/>
          <w:sz w:val="20"/>
          <w:szCs w:val="20"/>
          <w:vertAlign w:val="superscript"/>
        </w:rPr>
        <w:t>2</w:t>
      </w:r>
      <w:r w:rsidRPr="001F0955">
        <w:rPr>
          <w:rFonts w:ascii="Times New Roman" w:hAnsi="Times New Roman"/>
          <w:i/>
          <w:sz w:val="20"/>
          <w:szCs w:val="20"/>
        </w:rPr>
        <w:t>Department of Biostatistics, Yale School of Public Health, New Haven, CT 06520-8034 USA</w:t>
      </w:r>
    </w:p>
    <w:p w14:paraId="7CF2D39A" w14:textId="77777777" w:rsidR="00B5615B" w:rsidRDefault="00B5615B" w:rsidP="00B5615B">
      <w:pPr>
        <w:rPr>
          <w:rFonts w:ascii="Times New Roman" w:hAnsi="Times New Roman"/>
          <w:i/>
          <w:sz w:val="20"/>
          <w:szCs w:val="20"/>
          <w:vertAlign w:val="superscript"/>
        </w:rPr>
      </w:pPr>
    </w:p>
    <w:p w14:paraId="534F85D9" w14:textId="77777777" w:rsidR="00FB1943" w:rsidRPr="001F0955" w:rsidRDefault="00FB1943" w:rsidP="00FB1943">
      <w:pPr>
        <w:outlineLvl w:val="0"/>
        <w:rPr>
          <w:rFonts w:ascii="Times New Roman" w:hAnsi="Times New Roman"/>
          <w:i/>
          <w:sz w:val="20"/>
          <w:szCs w:val="20"/>
        </w:rPr>
      </w:pPr>
      <w:r w:rsidRPr="0053220B">
        <w:rPr>
          <w:rFonts w:ascii="Times New Roman" w:hAnsi="Times New Roman"/>
          <w:i/>
          <w:sz w:val="20"/>
          <w:szCs w:val="20"/>
          <w:vertAlign w:val="superscript"/>
        </w:rPr>
        <w:t>3</w:t>
      </w:r>
      <w:r>
        <w:rPr>
          <w:rFonts w:ascii="Times New Roman" w:hAnsi="Times New Roman"/>
          <w:i/>
          <w:sz w:val="20"/>
          <w:szCs w:val="20"/>
        </w:rPr>
        <w:t>Department of Statistics, University of California Riverside, Riverside, CA 92521 USA</w:t>
      </w:r>
    </w:p>
    <w:p w14:paraId="58C9DDD1" w14:textId="77777777" w:rsidR="00FB1943" w:rsidRPr="001F0955" w:rsidRDefault="00FB1943" w:rsidP="00B5615B">
      <w:pPr>
        <w:rPr>
          <w:rFonts w:ascii="Times New Roman" w:hAnsi="Times New Roman"/>
          <w:i/>
          <w:sz w:val="20"/>
          <w:szCs w:val="20"/>
          <w:vertAlign w:val="superscript"/>
        </w:rPr>
      </w:pPr>
    </w:p>
    <w:p w14:paraId="1C83B5EF" w14:textId="09FEE8E1" w:rsidR="00B5615B" w:rsidRPr="007C4EAC" w:rsidRDefault="00FB1943" w:rsidP="007C4EAC">
      <w:pPr>
        <w:outlineLvl w:val="0"/>
        <w:rPr>
          <w:rFonts w:ascii="Times New Roman" w:hAnsi="Times New Roman"/>
          <w:i/>
          <w:sz w:val="20"/>
          <w:szCs w:val="20"/>
        </w:rPr>
      </w:pPr>
      <w:r>
        <w:rPr>
          <w:rFonts w:ascii="Times New Roman" w:hAnsi="Times New Roman"/>
          <w:i/>
          <w:sz w:val="20"/>
          <w:szCs w:val="20"/>
          <w:vertAlign w:val="superscript"/>
        </w:rPr>
        <w:t>4</w:t>
      </w:r>
      <w:r w:rsidR="00B5615B" w:rsidRPr="001F0955">
        <w:rPr>
          <w:rFonts w:ascii="Times New Roman" w:hAnsi="Times New Roman"/>
          <w:i/>
          <w:sz w:val="20"/>
          <w:szCs w:val="20"/>
        </w:rPr>
        <w:t>International Vaccine Institute, Seoul 151-818, Republic of Korea</w:t>
      </w:r>
    </w:p>
    <w:p w14:paraId="08691C41" w14:textId="77777777" w:rsidR="00517466" w:rsidRPr="001057CB" w:rsidRDefault="00517466" w:rsidP="00B5615B">
      <w:pPr>
        <w:rPr>
          <w:rFonts w:ascii="Times New Roman" w:hAnsi="Times New Roman"/>
          <w:sz w:val="20"/>
          <w:szCs w:val="20"/>
        </w:rPr>
      </w:pPr>
    </w:p>
    <w:p w14:paraId="5C8964E8" w14:textId="603E4279" w:rsidR="00AB521F" w:rsidRPr="001057CB" w:rsidRDefault="00AB521F" w:rsidP="003159E3">
      <w:pPr>
        <w:pStyle w:val="Heading1"/>
        <w:spacing w:line="480" w:lineRule="auto"/>
        <w:rPr>
          <w:rFonts w:ascii="Times New Roman" w:hAnsi="Times New Roman"/>
          <w:b/>
          <w:color w:val="auto"/>
          <w:sz w:val="20"/>
          <w:szCs w:val="20"/>
        </w:rPr>
      </w:pPr>
      <w:r w:rsidRPr="001057CB">
        <w:rPr>
          <w:rFonts w:ascii="Times New Roman" w:hAnsi="Times New Roman"/>
          <w:b/>
          <w:color w:val="auto"/>
          <w:sz w:val="20"/>
          <w:szCs w:val="20"/>
        </w:rPr>
        <w:t>Literature search and data extraction</w:t>
      </w:r>
    </w:p>
    <w:p w14:paraId="405177C0" w14:textId="6A5F78A4"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 xml:space="preserve">A </w:t>
      </w:r>
      <w:r w:rsidR="00EB7741" w:rsidRPr="001057CB">
        <w:rPr>
          <w:rFonts w:ascii="Times New Roman" w:hAnsi="Times New Roman"/>
          <w:sz w:val="20"/>
          <w:szCs w:val="20"/>
        </w:rPr>
        <w:t xml:space="preserve">literature </w:t>
      </w:r>
      <w:r w:rsidRPr="001057CB">
        <w:rPr>
          <w:rFonts w:ascii="Times New Roman" w:hAnsi="Times New Roman"/>
          <w:sz w:val="20"/>
          <w:szCs w:val="20"/>
        </w:rPr>
        <w:t xml:space="preserve">review was undertaken to </w:t>
      </w:r>
      <w:r w:rsidR="00B527A3" w:rsidRPr="001057CB">
        <w:rPr>
          <w:rFonts w:ascii="Times New Roman" w:hAnsi="Times New Roman"/>
          <w:sz w:val="20"/>
          <w:szCs w:val="20"/>
        </w:rPr>
        <w:t xml:space="preserve">identify population-based </w:t>
      </w:r>
      <w:r w:rsidRPr="001057CB">
        <w:rPr>
          <w:rFonts w:ascii="Times New Roman" w:hAnsi="Times New Roman"/>
          <w:sz w:val="20"/>
          <w:szCs w:val="20"/>
        </w:rPr>
        <w:t xml:space="preserve">studies </w:t>
      </w:r>
      <w:r w:rsidR="00B527A3" w:rsidRPr="001057CB">
        <w:rPr>
          <w:rFonts w:ascii="Times New Roman" w:hAnsi="Times New Roman"/>
          <w:sz w:val="20"/>
          <w:szCs w:val="20"/>
        </w:rPr>
        <w:t xml:space="preserve">that reported incidence </w:t>
      </w:r>
      <w:r w:rsidRPr="001057CB">
        <w:rPr>
          <w:rFonts w:ascii="Times New Roman" w:hAnsi="Times New Roman"/>
          <w:sz w:val="20"/>
          <w:szCs w:val="20"/>
        </w:rPr>
        <w:t xml:space="preserve">of culture-confirmed typhoid fever for the period of 1980-2014. PubMed and Web of Knowledge were searched in English, Spanish, and French. Our search keywords included "typhoid fever", "Salmonella Typhi", and "Salmonella" linked to studies relating to "surveillance", "burden", "incidence", or "vaccine trials." From vaccine trials, we took into account only the incidence reported for the control arm of the study. In addition, we searched the bibliographies of all </w:t>
      </w:r>
      <w:r w:rsidR="003D0C07" w:rsidRPr="001057CB">
        <w:rPr>
          <w:rFonts w:ascii="Times New Roman" w:hAnsi="Times New Roman"/>
          <w:sz w:val="20"/>
          <w:szCs w:val="20"/>
        </w:rPr>
        <w:t xml:space="preserve">previous </w:t>
      </w:r>
      <w:r w:rsidRPr="001057CB">
        <w:rPr>
          <w:rFonts w:ascii="Times New Roman" w:hAnsi="Times New Roman"/>
          <w:sz w:val="20"/>
          <w:szCs w:val="20"/>
        </w:rPr>
        <w:t>global burden of typhoid</w:t>
      </w:r>
      <w:r w:rsidR="00C01EFC" w:rsidRPr="001057CB">
        <w:rPr>
          <w:rFonts w:ascii="Times New Roman" w:hAnsi="Times New Roman"/>
          <w:sz w:val="20"/>
          <w:szCs w:val="20"/>
        </w:rPr>
        <w:t xml:space="preserve"> </w:t>
      </w:r>
      <w:r w:rsidR="004672EB" w:rsidRPr="001057CB">
        <w:rPr>
          <w:rFonts w:ascii="Times New Roman" w:hAnsi="Times New Roman"/>
          <w:sz w:val="20"/>
          <w:szCs w:val="20"/>
        </w:rPr>
        <w:t xml:space="preserve">fever </w:t>
      </w:r>
      <w:r w:rsidR="003D0C07" w:rsidRPr="001057CB">
        <w:rPr>
          <w:rFonts w:ascii="Times New Roman" w:hAnsi="Times New Roman"/>
          <w:sz w:val="20"/>
          <w:szCs w:val="20"/>
        </w:rPr>
        <w:t>studies</w:t>
      </w:r>
      <w:r w:rsidR="000F4772">
        <w:rPr>
          <w:rFonts w:ascii="Times New Roman" w:hAnsi="Times New Roman"/>
          <w:sz w:val="20"/>
          <w:szCs w:val="20"/>
        </w:rPr>
        <w:t xml:space="preserve"> </w:t>
      </w:r>
      <w:r w:rsidR="000B697F" w:rsidRPr="001057CB">
        <w:rPr>
          <w:rFonts w:ascii="Times New Roman" w:hAnsi="Times New Roman"/>
          <w:sz w:val="20"/>
          <w:szCs w:val="20"/>
        </w:rPr>
        <w:fldChar w:fldCharType="begin" w:fldLock="1"/>
      </w:r>
      <w:r w:rsidR="0031425E">
        <w:rPr>
          <w:rFonts w:ascii="Times New Roman" w:hAnsi="Times New Roman"/>
          <w:sz w:val="20"/>
          <w:szCs w:val="20"/>
        </w:rPr>
        <w:instrText>ADDIN CSL_CITATION { "citationItems" : [ { "id" : "ITEM-1", "itemData" : { "ISSN" : "0042-9686", "PMID" : "15298225", "abstract" : "OBJECTIVE: To use new data to make a revised estimate of the global burden of typhoid fever, an accurate understanding of which is necessary to guide public health decisions for disease control and prevention efforts. METHODS: Population-based studies using confirmation by blood culture of typhoid fever cases were sought by computer search of the multilingual scientific literature. Where there were no eligible studies, data were extrapolated from neighbouring countries and regions. Age-incidence curves were used to model rates measured among narrow age cohorts to the general population. One-way sensitivity analysis was performed to explore the sensitivity of the estimate to the assumptions. The burden of paratyphoid fever was derived by a proportional method. FINDINGS: A total of 22 eligible studies were identified. Regions with high incidence of typhoid fever (&gt;100/100,000 cases/year) include south-central Asia and south-eastAsia. Regions of medium incidence (10-100/100,000 cases/year) include the rest of Asia, Africa, Latin America and the Caribbean, and Oceania, except for Australia and New Zealand. Europe, North America, and the rest of the developed world have low incidence of typhoid fever (&lt;10/100,000 cases/year). We estimate that typhoid fever caused 21,650,974 illnesses and 216,510 deaths during 2000 and that paratyphoid fever caused 5,412,744 illnesses. CONCLUSION: New data and improved understanding of typhoid fever epidemiology enabled us to refine the global typhoid burden estimate, which remains considerable. More detailed incidence studies in selected countries and regions, particularly Africa, are needed to further improve the estimate.", "author" : [ { "dropping-particle" : "", "family" : "Crump", "given" : "John A", "non-dropping-particle" : "", "parse-names" : false, "suffix" : "" }, { "dropping-particle" : "", "family" : "Luby", "given" : "Stephen P", "non-dropping-particle" : "", "parse-names" : false, "suffix" : "" }, { "dropping-particle" : "", "family" : "Mintz", "given" : "Eric D", "non-dropping-particle" : "", "parse-names" : false, "suffix" : "" } ], "container-title" : "Bulletin of the World Health Organization", "id" : "ITEM-1", "issue" : "5", "issued" : { "date-parts" : [ [ "2004", "5" ] ] }, "page" : "346-53", "title" : "The global burden of typhoid fever.", "type" : "article-journal", "volume" : "82" }, "uris" : [ "http://www.mendeley.com/documents/?uuid=d339863e-d4fe-4325-b5e6-e4371535186f" ] }, { "id" : "ITEM-2", "itemData" : { "DOI" : "10.1017/S0950268807009338", "ISSN" : "0950-2688", "PMID" : "17686194", "abstract" : "There are only 10 contemporary, population-based studies of typhoid fever that evaluate disease incidence using blood culture for confirmation of cases. Reported incidence ranged from 13 to 976/100 000 persons per year. These studies are likely to have been done preferentially in high- incidence sites which makes generalization of data difficult. Only five of these studies reported mortality. Of these the median (range) mortality was 0% (0-1.8%). Since study conditions usually involved enhanced clinical management of patients and the studies were not designed to evaluate mortality as an outcome, their usefulness for generalizing case-fatality rates is uncertain. No contemporary population-based studies reported rates of complications. Hospital-based typhoid fever studies reported median (range) complication rates of 2.8% (0.6-4.9%) for intestinal perforation and case-fatality rates of 2.0% (0-14.8%). Rates of complications other than intestinal perforation were not reported in contemporary hospital-based studies. Hospital-based studies capture information on the most severe illnesses among persons who have access to health-care services limiting their generalizability. Only two studies have informed the current understanding of typhoid fever age distribution curves. Extrapolation from population-based studies suggests that most typhoid fever occurs among young children in Asia. To reduce gaps in the current understanding of typhoid fever incidence, complications, and case-fatality rate, large population-based studies using blood culture confirmation of cases are needed in representative sites, especially in low and medium human development index countries outside Asia.", "author" : [ { "dropping-particle" : "", "family" : "Crump", "given" : "John A", "non-dropping-particle" : "", "parse-names" : false, "suffix" : "" }, { "dropping-particle" : "", "family" : "Ram", "given" : "Pavani K", "non-dropping-particle" : "", "parse-names" : false, "suffix" : "" }, { "dropping-particle" : "", "family" : "Gupta", "given" : "Sunetra K", "non-dropping-particle" : "", "parse-names" : false, "suffix" : "" }, { "dropping-particle" : "", "family" : "Miller", "given" : "Mark A", "non-dropping-particle" : "", "parse-names" : false, "suffix" : "" }, { "dropping-particle" : "", "family" : "Mintz", "given" : "Eric D", "non-dropping-particle" : "", "parse-names" : false, "suffix" : "" } ], "container-title" : "Epidemiology and Infection", "id" : "ITEM-2", "issue" : "4", "issued" : { "date-parts" : [ [ "2008", "4" ] ] }, "page" : "436-48", "title" : "Part I. Analysis of data gaps pertaining to Salmonella enterica serotype Typhi infections in low and medium human development index countries, 1984-2005.", "type" : "article-journal", "volume" : "136" }, "uris" : [ "http://www.mendeley.com/documents/?uuid=e8e1f7c5-ab64-4958-847d-4633b54be851" ] }, { "id" : "ITEM-3", "itemData" : { "DOI" : "10.7189/jogh.02.010401", "ISSN" : "2047-2986", "PMID" : "23198130", "abstract" : "BACKGROUND: Typhoid and paratyphoid fever remain important causes of morbidity worldwide. Accurate disease burden estimates are needed to guide policy decisions and prevention and control strategies. METHODS: We conducted a systematic literature review of the PubMed and Scopus databases using pre-defined criteria to identify population-based studies with typhoid fever incidence data published between 1980 and 2009. We also abstracted data from annual reports of notifiable diseases in countries with advanced surveillance systems. Typhoid and paratyphoid fever input data were grouped into regions and regional incidence and mortality rates were estimated. Incidence data were extrapolated across regions for those lacking data. Age-specific incidence rates were derived for regions where age-specific data were available. Crude and adjusted estimates of the global typhoid fever burden were calculated. RESULTS: Twenty-five studies were identified, all of which contained incidence data on typhoid fever and 12 on paratyphoid fever. Five advanced surveillance systems contributed data on typhoid fever; 2 on paratyphoid fever. Regional typhoid fever incidence rates ranged from &lt;0.1/100 000 cases/y in Central and Eastern Europe and Central Asia to 724.6/100 000 cases/y in Sub-Saharan Africa. Regional paratyphoid incidence rates ranged from 0.8/100 000 cases/y in North Africa/Middle East to 77.4/100 000 cases/y in Sub-Saharan Africa and South Asia. The estimated total number of typhoid fever episodes in 2010 was 13.5 million (interquartile range 9.1-17.8 million). The adjusted estimate accounting for the low sensitivity of blood cultures for isolation of the bacteria was 26.9 million (interquartile range 18.3-35.7 million) episodes. These findings are comparable to the most recent analysis of global typhoid fever morbidity, which reported crude and adjusted estimates of 10.8 million and 21.7 million typhoid fever episodes globally in 2000. CONCLUSION: Typhoid fever remains a significant health burden, especially in low- and middle-income countries. Despite the availability of more recent data on both enteric fevers, additional research is needed in many regions, particularly Africa, Latin America and other developing countries.", "author" : [ { "dropping-particle" : "", "family" : "Buckle", "given" : "Geoffrey C", "non-dropping-particle" : "", "parse-names" : false, "suffix" : "" }, { "dropping-particle" : "", "family" : "Walker", "given" : "Christa L Fischer", "non-dropping-particle" : "", "parse-names" : false, "suffix" : "" }, { "dropping-particle" : "", "family" : "Black", "given" : "Robert E", "non-dropping-particle" : "", "parse-names" : false, "suffix" : "" } ], "container-title" : "Journal of Global Health", "id" : "ITEM-3", "issue" : "1", "issued" : { "date-parts" : [ [ "2012", "6" ] ] }, "page" : "010401", "title" : "Typhoid fever and paratyphoid fever: Systematic review to estimate global morbidity and mortality for 2010.", "type" : "article-journal", "volume" : "2" }, "uris" : [ "http://www.mendeley.com/documents/?uuid=1814f27b-db58-4231-be5f-5c34605639a6" ] }, { "id" : "ITEM-4", "itemData" : { "DOI" : "10.1016/S2214-109X(14)70301-8", "ISSN" : "2214-109X", "PMID" : "25304633", "abstract" : "BACKGROUND: No access to safe water is an important risk factor for typhoid fever, yet risk-level heterogeneity is unaccounted for in previous global burden estimates. Since WHO has recommended risk-based use of typhoid polysaccharide vaccine, we revisited the burden of typhoid fever in low-income and middle-income countries (LMICs) after adjusting for water-related risk. METHODS: We estimated the typhoid disease burden from studies done in LMICs based on blood-culture-confirmed incidence rates applied to the 2010 population, after correcting for operational issues related to surveillance, limitations of diagnostic tests, and water-related risk. We derived incidence estimates, correction factors, and mortality estimates from systematic literature reviews. We did scenario analyses for risk factors, diagnostic sensitivity, and case fatality rates, accounting for the uncertainty in these estimates and we compared them with previous disease burden estimates. FINDINGS: The estimated number of typhoid fever cases in LMICs in 2010 after adjusting for water-related risk was 11\u00b79 million (95% CI 9\u00b79-14\u00b77) cases with 129 000 (75 000-208 000) deaths. By comparison, the estimated risk-unadjusted burden was 20\u00b76 million (17\u00b75-24\u00b72) cases and 223 000 (131 000-344 000) deaths. Scenario analyses indicated that the risk-factor adjustment and updated diagnostic test correction factor derived from systematic literature reviews were the drivers of differences between the current estimate and past estimates. INTERPRETATION: The risk-adjusted typhoid fever burden estimate was more conservative than previous estimates. However, by distinguishing the risk differences, it will allow assessment of the effect at the population level and will facilitate cost-effectiveness calculations for risk-based vaccination strategies for future typhoid conjugate vaccine. FUNDING: Bill and Melinda Gates Foundation.", "author" : [ { "dropping-particle" : "", "family" : "Mogasale", "given" : "Vittal", "non-dropping-particle" : "", "parse-names" : false, "suffix" : "" }, { "dropping-particle" : "", "family" : "Maskery", "given" : "Brian", "non-dropping-particle" : "", "parse-names" : false, "suffix" : "" }, { "dropping-particle" : "", "family" : "Ochiai", "given" : "R Leon", "non-dropping-particle" : "", "parse-names" : false, "suffix" : "" }, { "dropping-particle" : "", "family" : "Lee", "given" : "Jung Seok", "non-dropping-particle" : "", "parse-names" : false, "suffix" : "" }, { "dropping-particle" : "V", "family" : "Mogasale", "given" : "Vijayalaxmi", "non-dropping-particle" : "", "parse-names" : false, "suffix" : "" }, { "dropping-particle" : "", "family" : "Ramani", "given" : "Enusa", "non-dropping-particle" : "", "parse-names" : false, "suffix" : "" }, { "dropping-particle" : "", "family" : "Kim", "given" : "Young Eun", "non-dropping-particle" : "", "parse-names" : false, "suffix" : "" }, { "dropping-particle" : "", "family" : "Park", "given" : "Jin Kyung", "non-dropping-particle" : "", "parse-names" : false, "suffix" : "" }, { "dropping-particle" : "", "family" : "Wierzba", "given" : "Thomas F", "non-dropping-particle" : "", "parse-names" : false, "suffix" : "" } ], "container-title" : "Lancet Global Health", "id" : "ITEM-4", "issue" : "10", "issued" : { "date-parts" : [ [ "2014", "10" ] ] }, "page" : "e570-80", "publisher" : "Mogasale et al. Open Access article distributed under the terms of CC BY-NC-SA", "title" : "Burden of typhoid fever in low-income and middle-income countries: a systematic, literature-based update with risk-factor adjustment.", "type" : "article-journal", "volume" : "2" }, "uris" : [ "http://www.mendeley.com/documents/?uuid=c7878ac6-3005-43fb-b3fa-ce70334aa983" ] } ], "mendeley" : { "formattedCitation" : "[1\u20134]", "plainTextFormattedCitation" : "[1\u20134]", "previouslyFormattedCitation" : "[1\u20134]" }, "properties" : { "noteIndex" : 0 }, "schema" : "https://github.com/citation-style-language/schema/raw/master/csl-citation.json" }</w:instrText>
      </w:r>
      <w:r w:rsidR="000B697F" w:rsidRPr="001057CB">
        <w:rPr>
          <w:rFonts w:ascii="Times New Roman" w:hAnsi="Times New Roman"/>
          <w:sz w:val="20"/>
          <w:szCs w:val="20"/>
        </w:rPr>
        <w:fldChar w:fldCharType="separate"/>
      </w:r>
      <w:r w:rsidR="00C17EAF" w:rsidRPr="00C17EAF">
        <w:rPr>
          <w:rFonts w:ascii="Times New Roman" w:hAnsi="Times New Roman"/>
          <w:noProof/>
          <w:sz w:val="20"/>
          <w:szCs w:val="20"/>
        </w:rPr>
        <w:t>[1–4]</w:t>
      </w:r>
      <w:r w:rsidR="000B697F" w:rsidRPr="001057CB">
        <w:rPr>
          <w:rFonts w:ascii="Times New Roman" w:hAnsi="Times New Roman"/>
          <w:sz w:val="20"/>
          <w:szCs w:val="20"/>
        </w:rPr>
        <w:fldChar w:fldCharType="end"/>
      </w:r>
      <w:r w:rsidR="00132CFA" w:rsidRPr="001057CB">
        <w:rPr>
          <w:rFonts w:ascii="Times New Roman" w:hAnsi="Times New Roman"/>
          <w:sz w:val="20"/>
          <w:szCs w:val="20"/>
        </w:rPr>
        <w:t>.</w:t>
      </w:r>
    </w:p>
    <w:p w14:paraId="106BE874" w14:textId="77777777" w:rsidR="00AB521F" w:rsidRPr="001057CB" w:rsidRDefault="00AB521F" w:rsidP="003159E3">
      <w:pPr>
        <w:spacing w:line="480" w:lineRule="auto"/>
        <w:rPr>
          <w:rFonts w:ascii="Times New Roman" w:hAnsi="Times New Roman"/>
          <w:sz w:val="20"/>
          <w:szCs w:val="20"/>
        </w:rPr>
      </w:pPr>
    </w:p>
    <w:p w14:paraId="16C16C9B" w14:textId="06918E15"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 xml:space="preserve">Data </w:t>
      </w:r>
      <w:r w:rsidR="00C01EFC" w:rsidRPr="001057CB">
        <w:rPr>
          <w:rFonts w:ascii="Times New Roman" w:hAnsi="Times New Roman"/>
          <w:sz w:val="20"/>
          <w:szCs w:val="20"/>
        </w:rPr>
        <w:t>were</w:t>
      </w:r>
      <w:r w:rsidRPr="001057CB">
        <w:rPr>
          <w:rFonts w:ascii="Times New Roman" w:hAnsi="Times New Roman"/>
          <w:sz w:val="20"/>
          <w:szCs w:val="20"/>
        </w:rPr>
        <w:t xml:space="preserve"> extracted from population-based studies that reported age-specific incidence as well as studies that only reported overall incidence. </w:t>
      </w:r>
      <w:r w:rsidR="00517466" w:rsidRPr="001057CB">
        <w:rPr>
          <w:rFonts w:ascii="Times New Roman" w:hAnsi="Times New Roman"/>
          <w:sz w:val="20"/>
          <w:szCs w:val="20"/>
        </w:rPr>
        <w:t xml:space="preserve">In addition to case counts and person-time of observation, we extracted information on whether surveillance was passive or active, the volume of blood collected for culture, and the participation rate for each age group (if available). </w:t>
      </w:r>
      <w:r w:rsidR="00C01EFC" w:rsidRPr="001057CB">
        <w:rPr>
          <w:rFonts w:ascii="Times New Roman" w:hAnsi="Times New Roman"/>
          <w:sz w:val="20"/>
          <w:szCs w:val="20"/>
        </w:rPr>
        <w:t>Hospital-</w:t>
      </w:r>
      <w:r w:rsidRPr="001057CB">
        <w:rPr>
          <w:rFonts w:ascii="Times New Roman" w:hAnsi="Times New Roman"/>
          <w:sz w:val="20"/>
          <w:szCs w:val="20"/>
        </w:rPr>
        <w:t xml:space="preserve">based studies were included if </w:t>
      </w:r>
      <w:r w:rsidR="000C5D53">
        <w:rPr>
          <w:rFonts w:ascii="Times New Roman" w:hAnsi="Times New Roman"/>
          <w:sz w:val="20"/>
          <w:szCs w:val="20"/>
        </w:rPr>
        <w:t>both outpatient and inpatient cases were reported</w:t>
      </w:r>
      <w:r w:rsidR="000C5D53" w:rsidRPr="001057CB">
        <w:rPr>
          <w:rFonts w:ascii="Times New Roman" w:hAnsi="Times New Roman"/>
          <w:sz w:val="20"/>
          <w:szCs w:val="20"/>
        </w:rPr>
        <w:t xml:space="preserve"> </w:t>
      </w:r>
      <w:r w:rsidR="000C5D53">
        <w:rPr>
          <w:rFonts w:ascii="Times New Roman" w:hAnsi="Times New Roman"/>
          <w:sz w:val="20"/>
          <w:szCs w:val="20"/>
        </w:rPr>
        <w:t xml:space="preserve">and </w:t>
      </w:r>
      <w:r w:rsidRPr="001057CB">
        <w:rPr>
          <w:rFonts w:ascii="Times New Roman" w:hAnsi="Times New Roman"/>
          <w:sz w:val="20"/>
          <w:szCs w:val="20"/>
        </w:rPr>
        <w:t>we could identify the catchment population</w:t>
      </w:r>
      <w:r w:rsidR="00C01EFC" w:rsidRPr="001057CB">
        <w:rPr>
          <w:rFonts w:ascii="Times New Roman" w:hAnsi="Times New Roman"/>
          <w:sz w:val="20"/>
          <w:szCs w:val="20"/>
        </w:rPr>
        <w:t xml:space="preserve"> size</w:t>
      </w:r>
      <w:r w:rsidR="003D0C07" w:rsidRPr="001057CB">
        <w:rPr>
          <w:rFonts w:ascii="Times New Roman" w:hAnsi="Times New Roman"/>
          <w:sz w:val="20"/>
          <w:szCs w:val="20"/>
        </w:rPr>
        <w:t xml:space="preserve">. While </w:t>
      </w:r>
      <w:r w:rsidRPr="001057CB">
        <w:rPr>
          <w:rFonts w:ascii="Times New Roman" w:hAnsi="Times New Roman"/>
          <w:sz w:val="20"/>
          <w:szCs w:val="20"/>
        </w:rPr>
        <w:t>we believed that the ascertainment of</w:t>
      </w:r>
      <w:r w:rsidR="003D0C07" w:rsidRPr="001057CB">
        <w:rPr>
          <w:rFonts w:ascii="Times New Roman" w:hAnsi="Times New Roman"/>
          <w:sz w:val="20"/>
          <w:szCs w:val="20"/>
        </w:rPr>
        <w:t xml:space="preserve"> cases in</w:t>
      </w:r>
      <w:r w:rsidRPr="001057CB">
        <w:rPr>
          <w:rFonts w:ascii="Times New Roman" w:hAnsi="Times New Roman"/>
          <w:sz w:val="20"/>
          <w:szCs w:val="20"/>
        </w:rPr>
        <w:t xml:space="preserve"> hospital-based studies could be low, these studies </w:t>
      </w:r>
      <w:r w:rsidR="00C01EFC" w:rsidRPr="001057CB">
        <w:rPr>
          <w:rFonts w:ascii="Times New Roman" w:hAnsi="Times New Roman"/>
          <w:sz w:val="20"/>
          <w:szCs w:val="20"/>
        </w:rPr>
        <w:t xml:space="preserve">provided </w:t>
      </w:r>
      <w:r w:rsidRPr="001057CB">
        <w:rPr>
          <w:rFonts w:ascii="Times New Roman" w:hAnsi="Times New Roman"/>
          <w:sz w:val="20"/>
          <w:szCs w:val="20"/>
        </w:rPr>
        <w:t xml:space="preserve">a lower bound </w:t>
      </w:r>
      <w:r w:rsidR="003D0C07" w:rsidRPr="001057CB">
        <w:rPr>
          <w:rFonts w:ascii="Times New Roman" w:hAnsi="Times New Roman"/>
          <w:sz w:val="20"/>
          <w:szCs w:val="20"/>
        </w:rPr>
        <w:t xml:space="preserve">on typhoid </w:t>
      </w:r>
      <w:r w:rsidRPr="001057CB">
        <w:rPr>
          <w:rFonts w:ascii="Times New Roman" w:hAnsi="Times New Roman"/>
          <w:sz w:val="20"/>
          <w:szCs w:val="20"/>
        </w:rPr>
        <w:t xml:space="preserve">incidence in regions of the world for which we had little </w:t>
      </w:r>
      <w:r w:rsidR="003D0C07" w:rsidRPr="001057CB">
        <w:rPr>
          <w:rFonts w:ascii="Times New Roman" w:hAnsi="Times New Roman"/>
          <w:sz w:val="20"/>
          <w:szCs w:val="20"/>
        </w:rPr>
        <w:t xml:space="preserve">or </w:t>
      </w:r>
      <w:r w:rsidRPr="001057CB">
        <w:rPr>
          <w:rFonts w:ascii="Times New Roman" w:hAnsi="Times New Roman"/>
          <w:sz w:val="20"/>
          <w:szCs w:val="20"/>
        </w:rPr>
        <w:t>no information and also helped inform estimates of the age</w:t>
      </w:r>
      <w:r w:rsidR="003D0C07" w:rsidRPr="001057CB">
        <w:rPr>
          <w:rFonts w:ascii="Times New Roman" w:hAnsi="Times New Roman"/>
          <w:sz w:val="20"/>
          <w:szCs w:val="20"/>
        </w:rPr>
        <w:t xml:space="preserve"> </w:t>
      </w:r>
      <w:r w:rsidRPr="001057CB">
        <w:rPr>
          <w:rFonts w:ascii="Times New Roman" w:hAnsi="Times New Roman"/>
          <w:sz w:val="20"/>
          <w:szCs w:val="20"/>
        </w:rPr>
        <w:t xml:space="preserve">distribution of typhoid in different places. </w:t>
      </w:r>
    </w:p>
    <w:p w14:paraId="7DF0283C" w14:textId="77777777" w:rsidR="00AB521F" w:rsidRPr="001057CB" w:rsidRDefault="00AB521F" w:rsidP="003159E3">
      <w:pPr>
        <w:spacing w:line="480" w:lineRule="auto"/>
        <w:rPr>
          <w:rFonts w:ascii="Times New Roman" w:hAnsi="Times New Roman"/>
          <w:sz w:val="20"/>
          <w:szCs w:val="20"/>
        </w:rPr>
      </w:pPr>
    </w:p>
    <w:p w14:paraId="3E67EDA4" w14:textId="3087A8C6" w:rsidR="00AB521F" w:rsidRPr="001057CB" w:rsidRDefault="00FC1C20" w:rsidP="003159E3">
      <w:pPr>
        <w:spacing w:line="480" w:lineRule="auto"/>
        <w:rPr>
          <w:rFonts w:ascii="Times New Roman" w:hAnsi="Times New Roman"/>
          <w:sz w:val="20"/>
          <w:szCs w:val="20"/>
        </w:rPr>
      </w:pPr>
      <w:r w:rsidRPr="001057CB">
        <w:rPr>
          <w:rFonts w:ascii="Times New Roman" w:hAnsi="Times New Roman"/>
          <w:sz w:val="20"/>
          <w:szCs w:val="20"/>
        </w:rPr>
        <w:lastRenderedPageBreak/>
        <w:t>We found that although some Ministries of Health reported typhoid incidence each year</w:t>
      </w:r>
      <w:r w:rsidR="00E51C1C" w:rsidRPr="001057CB">
        <w:rPr>
          <w:rFonts w:ascii="Times New Roman" w:hAnsi="Times New Roman"/>
          <w:sz w:val="20"/>
          <w:szCs w:val="20"/>
        </w:rPr>
        <w:t xml:space="preserve"> (e.g. Chile, Lebanon, Brazil)</w:t>
      </w:r>
      <w:r w:rsidRPr="001057CB">
        <w:rPr>
          <w:rFonts w:ascii="Times New Roman" w:hAnsi="Times New Roman"/>
          <w:sz w:val="20"/>
          <w:szCs w:val="20"/>
        </w:rPr>
        <w:t xml:space="preserve">, these agencies did not detail the circumstances under which the cases were reported well enough to understand how the data were comparable to population-based studies in the scientific literature; therefore, we did not include these data. </w:t>
      </w:r>
    </w:p>
    <w:p w14:paraId="3AC2C7E8" w14:textId="77777777" w:rsidR="00517466" w:rsidRPr="001057CB" w:rsidRDefault="00517466" w:rsidP="003159E3">
      <w:pPr>
        <w:spacing w:line="480" w:lineRule="auto"/>
        <w:rPr>
          <w:rFonts w:ascii="Times New Roman" w:hAnsi="Times New Roman"/>
          <w:sz w:val="20"/>
          <w:szCs w:val="20"/>
        </w:rPr>
      </w:pPr>
    </w:p>
    <w:p w14:paraId="5D7BED3D" w14:textId="0E1D5931" w:rsidR="00517466" w:rsidRDefault="00517466" w:rsidP="003159E3">
      <w:pPr>
        <w:spacing w:line="480" w:lineRule="auto"/>
        <w:rPr>
          <w:rFonts w:ascii="Times New Roman" w:hAnsi="Times New Roman"/>
          <w:sz w:val="20"/>
          <w:szCs w:val="20"/>
        </w:rPr>
      </w:pPr>
      <w:r w:rsidRPr="001057CB">
        <w:rPr>
          <w:rFonts w:ascii="Times New Roman" w:hAnsi="Times New Roman"/>
          <w:sz w:val="20"/>
          <w:szCs w:val="20"/>
        </w:rPr>
        <w:t xml:space="preserve">In total, we identified </w:t>
      </w:r>
      <w:r w:rsidR="00977296">
        <w:rPr>
          <w:rFonts w:ascii="Times New Roman" w:hAnsi="Times New Roman"/>
          <w:sz w:val="20"/>
          <w:szCs w:val="20"/>
        </w:rPr>
        <w:t>32</w:t>
      </w:r>
      <w:r w:rsidR="00191051" w:rsidRPr="001057CB">
        <w:rPr>
          <w:rFonts w:ascii="Times New Roman" w:hAnsi="Times New Roman"/>
          <w:sz w:val="20"/>
          <w:szCs w:val="20"/>
        </w:rPr>
        <w:t xml:space="preserve"> </w:t>
      </w:r>
      <w:r w:rsidRPr="001057CB">
        <w:rPr>
          <w:rFonts w:ascii="Times New Roman" w:hAnsi="Times New Roman"/>
          <w:sz w:val="20"/>
          <w:szCs w:val="20"/>
        </w:rPr>
        <w:t xml:space="preserve">studies in </w:t>
      </w:r>
      <w:r w:rsidR="00191051" w:rsidRPr="001057CB">
        <w:rPr>
          <w:rFonts w:ascii="Times New Roman" w:hAnsi="Times New Roman"/>
          <w:sz w:val="20"/>
          <w:szCs w:val="20"/>
        </w:rPr>
        <w:t>2</w:t>
      </w:r>
      <w:r w:rsidR="00191051">
        <w:rPr>
          <w:rFonts w:ascii="Times New Roman" w:hAnsi="Times New Roman"/>
          <w:sz w:val="20"/>
          <w:szCs w:val="20"/>
        </w:rPr>
        <w:t>2</w:t>
      </w:r>
      <w:r w:rsidR="00191051" w:rsidRPr="001057CB">
        <w:rPr>
          <w:rFonts w:ascii="Times New Roman" w:hAnsi="Times New Roman"/>
          <w:sz w:val="20"/>
          <w:szCs w:val="20"/>
        </w:rPr>
        <w:t xml:space="preserve"> </w:t>
      </w:r>
      <w:r w:rsidRPr="001057CB">
        <w:rPr>
          <w:rFonts w:ascii="Times New Roman" w:hAnsi="Times New Roman"/>
          <w:sz w:val="20"/>
          <w:szCs w:val="20"/>
        </w:rPr>
        <w:t xml:space="preserve">sites located in 14 countries, carried out in the period between 1980-2010 (Table S1). </w:t>
      </w:r>
      <w:r w:rsidR="00977296" w:rsidRPr="000C5D53">
        <w:rPr>
          <w:rFonts w:ascii="Times New Roman" w:hAnsi="Times New Roman"/>
          <w:sz w:val="20"/>
          <w:szCs w:val="20"/>
        </w:rPr>
        <w:t>Fourteen</w:t>
      </w:r>
      <w:r w:rsidRPr="000C5D53">
        <w:rPr>
          <w:rFonts w:ascii="Times New Roman" w:hAnsi="Times New Roman"/>
          <w:sz w:val="20"/>
          <w:szCs w:val="20"/>
        </w:rPr>
        <w:t xml:space="preserve"> of these studies employed active surveillance or </w:t>
      </w:r>
      <w:r w:rsidR="00191051" w:rsidRPr="000C5D53">
        <w:rPr>
          <w:rFonts w:ascii="Times New Roman" w:hAnsi="Times New Roman"/>
          <w:sz w:val="20"/>
          <w:szCs w:val="20"/>
        </w:rPr>
        <w:t>“</w:t>
      </w:r>
      <w:r w:rsidRPr="000C5D53">
        <w:rPr>
          <w:rFonts w:ascii="Times New Roman" w:hAnsi="Times New Roman"/>
          <w:sz w:val="20"/>
          <w:szCs w:val="20"/>
        </w:rPr>
        <w:t>augmented passive</w:t>
      </w:r>
      <w:r w:rsidR="00191051" w:rsidRPr="000C5D53">
        <w:rPr>
          <w:rFonts w:ascii="Times New Roman" w:hAnsi="Times New Roman"/>
          <w:sz w:val="20"/>
          <w:szCs w:val="20"/>
        </w:rPr>
        <w:t>”</w:t>
      </w:r>
      <w:r w:rsidRPr="000C5D53">
        <w:rPr>
          <w:rFonts w:ascii="Times New Roman" w:hAnsi="Times New Roman"/>
          <w:sz w:val="20"/>
          <w:szCs w:val="20"/>
        </w:rPr>
        <w:t xml:space="preserve"> population-based surveillance</w:t>
      </w:r>
      <w:r w:rsidR="00191051" w:rsidRPr="000C5D53">
        <w:rPr>
          <w:rFonts w:ascii="Times New Roman" w:hAnsi="Times New Roman"/>
          <w:sz w:val="20"/>
          <w:szCs w:val="20"/>
        </w:rPr>
        <w:t xml:space="preserve"> (in which study team members visited households to ask about the occurrence of fever and encourage febrile participants to attend study clinics)</w:t>
      </w:r>
      <w:r w:rsidR="000C5D53" w:rsidRPr="000C5D53">
        <w:rPr>
          <w:rFonts w:ascii="Times New Roman" w:hAnsi="Times New Roman"/>
          <w:sz w:val="20"/>
          <w:szCs w:val="20"/>
        </w:rPr>
        <w:t>, four</w:t>
      </w:r>
      <w:r w:rsidRPr="000C5D53">
        <w:rPr>
          <w:rFonts w:ascii="Times New Roman" w:hAnsi="Times New Roman"/>
          <w:sz w:val="20"/>
          <w:szCs w:val="20"/>
        </w:rPr>
        <w:t xml:space="preserve"> studies were passive hospital</w:t>
      </w:r>
      <w:r w:rsidR="000C5D53" w:rsidRPr="000C5D53">
        <w:rPr>
          <w:rFonts w:ascii="Times New Roman" w:hAnsi="Times New Roman"/>
          <w:sz w:val="20"/>
          <w:szCs w:val="20"/>
        </w:rPr>
        <w:t>-based studies, and the other fourteen</w:t>
      </w:r>
      <w:r w:rsidRPr="000C5D53">
        <w:rPr>
          <w:rFonts w:ascii="Times New Roman" w:hAnsi="Times New Roman"/>
          <w:sz w:val="20"/>
          <w:szCs w:val="20"/>
        </w:rPr>
        <w:t xml:space="preserve"> studies were passive population-based surveillance studies.</w:t>
      </w:r>
      <w:r w:rsidRPr="001057CB">
        <w:rPr>
          <w:rFonts w:ascii="Times New Roman" w:hAnsi="Times New Roman"/>
          <w:sz w:val="20"/>
          <w:szCs w:val="20"/>
        </w:rPr>
        <w:t xml:space="preserve"> All but </w:t>
      </w:r>
      <w:r w:rsidR="00977296">
        <w:rPr>
          <w:rFonts w:ascii="Times New Roman" w:hAnsi="Times New Roman"/>
          <w:sz w:val="20"/>
          <w:szCs w:val="20"/>
        </w:rPr>
        <w:t>three</w:t>
      </w:r>
      <w:r w:rsidRPr="001057CB">
        <w:rPr>
          <w:rFonts w:ascii="Times New Roman" w:hAnsi="Times New Roman"/>
          <w:sz w:val="20"/>
          <w:szCs w:val="20"/>
        </w:rPr>
        <w:t xml:space="preserve"> studies reported incidence for separate age categories or for some subset of the age groups in our analysis: &lt;2 years, 2-</w:t>
      </w:r>
      <w:r w:rsidR="00AE5C9D">
        <w:rPr>
          <w:rFonts w:ascii="Times New Roman" w:hAnsi="Times New Roman"/>
          <w:sz w:val="20"/>
          <w:szCs w:val="20"/>
        </w:rPr>
        <w:t>4</w:t>
      </w:r>
      <w:r w:rsidRPr="001057CB">
        <w:rPr>
          <w:rFonts w:ascii="Times New Roman" w:hAnsi="Times New Roman"/>
          <w:sz w:val="20"/>
          <w:szCs w:val="20"/>
        </w:rPr>
        <w:t xml:space="preserve"> years, 5-15 years, </w:t>
      </w:r>
      <w:r w:rsidR="00A0688F">
        <w:rPr>
          <w:sz w:val="20"/>
          <w:szCs w:val="20"/>
        </w:rPr>
        <w:t>≥</w:t>
      </w:r>
      <w:r w:rsidRPr="001057CB">
        <w:rPr>
          <w:rFonts w:ascii="Times New Roman" w:hAnsi="Times New Roman"/>
          <w:sz w:val="20"/>
          <w:szCs w:val="20"/>
        </w:rPr>
        <w:t xml:space="preserve">15 years old. We extracted data to conform to these age categories as closely as possible, but when incidence could not be broken down into these categories, we included the observation as a combination of the age categories, as described in section 3 of this supplement. </w:t>
      </w:r>
    </w:p>
    <w:p w14:paraId="1EAD8F2B" w14:textId="77777777" w:rsidR="00191051" w:rsidRPr="001057CB" w:rsidRDefault="00191051" w:rsidP="003159E3">
      <w:pPr>
        <w:spacing w:line="480" w:lineRule="auto"/>
        <w:rPr>
          <w:rFonts w:ascii="Times New Roman" w:hAnsi="Times New Roman"/>
          <w:sz w:val="20"/>
          <w:szCs w:val="20"/>
        </w:rPr>
      </w:pPr>
    </w:p>
    <w:p w14:paraId="55AFF42E" w14:textId="612AAB97" w:rsidR="00DF503B" w:rsidRPr="00A60B1C" w:rsidRDefault="00CF6F6B" w:rsidP="003159E3">
      <w:pPr>
        <w:pStyle w:val="Heading1"/>
        <w:spacing w:line="480" w:lineRule="auto"/>
        <w:rPr>
          <w:rFonts w:ascii="Times New Roman" w:hAnsi="Times New Roman"/>
          <w:sz w:val="20"/>
          <w:szCs w:val="20"/>
        </w:rPr>
      </w:pPr>
      <w:r w:rsidRPr="001057CB">
        <w:rPr>
          <w:rFonts w:ascii="Times New Roman" w:hAnsi="Times New Roman"/>
          <w:b/>
          <w:color w:val="auto"/>
          <w:sz w:val="20"/>
          <w:szCs w:val="20"/>
        </w:rPr>
        <w:t>Predictor data</w:t>
      </w:r>
    </w:p>
    <w:p w14:paraId="202998C6" w14:textId="5B6AEF47" w:rsidR="00AB521F" w:rsidRPr="001057CB" w:rsidRDefault="00CF6F6B" w:rsidP="003159E3">
      <w:pPr>
        <w:pStyle w:val="Heading2"/>
        <w:spacing w:line="480" w:lineRule="auto"/>
        <w:rPr>
          <w:rFonts w:ascii="Times New Roman" w:hAnsi="Times New Roman"/>
          <w:b/>
          <w:i/>
          <w:color w:val="auto"/>
          <w:sz w:val="20"/>
          <w:szCs w:val="20"/>
        </w:rPr>
      </w:pPr>
      <w:r w:rsidRPr="001057CB">
        <w:rPr>
          <w:rFonts w:ascii="Times New Roman" w:hAnsi="Times New Roman"/>
          <w:b/>
          <w:i/>
          <w:color w:val="auto"/>
          <w:sz w:val="20"/>
          <w:szCs w:val="20"/>
        </w:rPr>
        <w:t>Country</w:t>
      </w:r>
      <w:r w:rsidR="00C01EFC" w:rsidRPr="001057CB">
        <w:rPr>
          <w:rFonts w:ascii="Times New Roman" w:hAnsi="Times New Roman"/>
          <w:b/>
          <w:i/>
          <w:color w:val="auto"/>
          <w:sz w:val="20"/>
          <w:szCs w:val="20"/>
        </w:rPr>
        <w:t>-</w:t>
      </w:r>
      <w:r w:rsidRPr="001057CB">
        <w:rPr>
          <w:rFonts w:ascii="Times New Roman" w:hAnsi="Times New Roman"/>
          <w:b/>
          <w:i/>
          <w:color w:val="auto"/>
          <w:sz w:val="20"/>
          <w:szCs w:val="20"/>
        </w:rPr>
        <w:t>level data</w:t>
      </w:r>
    </w:p>
    <w:p w14:paraId="04313F9A" w14:textId="546739C3" w:rsidR="00AB521F" w:rsidRDefault="00C01EFC" w:rsidP="0092388C">
      <w:pPr>
        <w:widowControl w:val="0"/>
        <w:autoSpaceDE w:val="0"/>
        <w:autoSpaceDN w:val="0"/>
        <w:adjustRightInd w:val="0"/>
        <w:spacing w:line="480" w:lineRule="auto"/>
        <w:rPr>
          <w:rFonts w:ascii="Times New Roman" w:hAnsi="Times New Roman"/>
          <w:sz w:val="20"/>
          <w:szCs w:val="20"/>
        </w:rPr>
      </w:pPr>
      <w:r w:rsidRPr="001057CB">
        <w:rPr>
          <w:rFonts w:ascii="Times New Roman" w:hAnsi="Times New Roman"/>
          <w:sz w:val="20"/>
          <w:szCs w:val="20"/>
        </w:rPr>
        <w:t>For each of the surveillance studies described above, country</w:t>
      </w:r>
      <w:r w:rsidR="00AB521F" w:rsidRPr="001057CB">
        <w:rPr>
          <w:rFonts w:ascii="Times New Roman" w:hAnsi="Times New Roman"/>
          <w:sz w:val="20"/>
          <w:szCs w:val="20"/>
        </w:rPr>
        <w:t>-level data was extracted from the World Bank's World Development Index to match the</w:t>
      </w:r>
      <w:r w:rsidR="00517466" w:rsidRPr="001057CB">
        <w:rPr>
          <w:rFonts w:ascii="Times New Roman" w:hAnsi="Times New Roman"/>
          <w:sz w:val="20"/>
          <w:szCs w:val="20"/>
        </w:rPr>
        <w:t xml:space="preserve"> geographic location of the study, whether it took place in an urban or rural context, and the</w:t>
      </w:r>
      <w:r w:rsidR="00AB521F" w:rsidRPr="001057CB">
        <w:rPr>
          <w:rFonts w:ascii="Times New Roman" w:hAnsi="Times New Roman"/>
          <w:sz w:val="20"/>
          <w:szCs w:val="20"/>
        </w:rPr>
        <w:t xml:space="preserve"> period of the study as closely as possible</w:t>
      </w:r>
      <w:r w:rsidR="000F4772">
        <w:rPr>
          <w:rFonts w:ascii="Times New Roman" w:hAnsi="Times New Roman"/>
          <w:sz w:val="20"/>
          <w:szCs w:val="20"/>
        </w:rPr>
        <w:t xml:space="preserve"> </w:t>
      </w:r>
      <w:r w:rsidR="00B961FE" w:rsidRPr="001057CB">
        <w:rPr>
          <w:rFonts w:ascii="Times New Roman" w:hAnsi="Times New Roman"/>
          <w:sz w:val="20"/>
          <w:szCs w:val="20"/>
        </w:rPr>
        <w:fldChar w:fldCharType="begin" w:fldLock="1"/>
      </w:r>
      <w:r w:rsidR="0031425E">
        <w:rPr>
          <w:rFonts w:ascii="Times New Roman" w:hAnsi="Times New Roman"/>
          <w:sz w:val="20"/>
          <w:szCs w:val="20"/>
        </w:rPr>
        <w:instrText>ADDIN CSL_CITATION { "citationItems" : [ { "id" : "ITEM-1", "itemData" : { "author" : [ { "dropping-particle" : "", "family" : "World Bank", "given" : "", "non-dropping-particle" : "", "parse-names" : false, "suffix" : "" } ], "id" : "ITEM-1", "issued" : { "date-parts" : [ [ "2015" ] ] }, "publisher" : "World Bank (producer and distributor)", "publisher-place" : "Washington, DC.", "title" : "World Development Indicators", "type" : "report" }, "uris" : [ "http://www.mendeley.com/documents/?uuid=047ec1fd-fdf8-4650-90bf-91b7a1660096" ] } ], "mendeley" : { "formattedCitation" : "[5]", "plainTextFormattedCitation" : "[5]", "previouslyFormattedCitation" : "[5]" }, "properties" : { "noteIndex" : 0 }, "schema" : "https://github.com/citation-style-language/schema/raw/master/csl-citation.json" }</w:instrText>
      </w:r>
      <w:r w:rsidR="00B961FE" w:rsidRPr="001057CB">
        <w:rPr>
          <w:rFonts w:ascii="Times New Roman" w:hAnsi="Times New Roman"/>
          <w:sz w:val="20"/>
          <w:szCs w:val="20"/>
        </w:rPr>
        <w:fldChar w:fldCharType="separate"/>
      </w:r>
      <w:r w:rsidR="00C17EAF" w:rsidRPr="00C17EAF">
        <w:rPr>
          <w:rFonts w:ascii="Times New Roman" w:hAnsi="Times New Roman"/>
          <w:noProof/>
          <w:sz w:val="20"/>
          <w:szCs w:val="20"/>
        </w:rPr>
        <w:t>[5]</w:t>
      </w:r>
      <w:r w:rsidR="00B961FE" w:rsidRPr="001057CB">
        <w:rPr>
          <w:rFonts w:ascii="Times New Roman" w:hAnsi="Times New Roman"/>
          <w:sz w:val="20"/>
          <w:szCs w:val="20"/>
        </w:rPr>
        <w:fldChar w:fldCharType="end"/>
      </w:r>
      <w:r w:rsidR="00AB521F" w:rsidRPr="001057CB">
        <w:rPr>
          <w:rFonts w:ascii="Times New Roman" w:hAnsi="Times New Roman"/>
          <w:sz w:val="20"/>
          <w:szCs w:val="20"/>
        </w:rPr>
        <w:t xml:space="preserve">. </w:t>
      </w:r>
      <w:r w:rsidR="002B30D0">
        <w:rPr>
          <w:rFonts w:ascii="Times New Roman" w:hAnsi="Times New Roman"/>
          <w:sz w:val="20"/>
          <w:szCs w:val="20"/>
        </w:rPr>
        <w:t>Specifically, we extracted indices of inequality (Gini coefficient), extreme poverty (</w:t>
      </w:r>
      <w:r w:rsidR="00990CB3">
        <w:rPr>
          <w:rFonts w:ascii="Times New Roman" w:hAnsi="Times New Roman"/>
          <w:sz w:val="20"/>
          <w:szCs w:val="20"/>
        </w:rPr>
        <w:t>headcount ratio: % households living with &lt;$2/person per day</w:t>
      </w:r>
      <w:r w:rsidR="002B30D0">
        <w:rPr>
          <w:rFonts w:ascii="Times New Roman" w:hAnsi="Times New Roman"/>
          <w:sz w:val="20"/>
          <w:szCs w:val="20"/>
        </w:rPr>
        <w:t xml:space="preserve">), and </w:t>
      </w:r>
      <w:r w:rsidR="00990CB3">
        <w:rPr>
          <w:rFonts w:ascii="Times New Roman" w:hAnsi="Times New Roman"/>
          <w:sz w:val="20"/>
          <w:szCs w:val="20"/>
        </w:rPr>
        <w:t>infrastructure (% roads paved)</w:t>
      </w:r>
      <w:r w:rsidR="002B30D0">
        <w:rPr>
          <w:rFonts w:ascii="Times New Roman" w:hAnsi="Times New Roman"/>
          <w:sz w:val="20"/>
          <w:szCs w:val="20"/>
        </w:rPr>
        <w:t xml:space="preserve">. </w:t>
      </w:r>
      <w:r w:rsidR="00AB521F" w:rsidRPr="001057CB">
        <w:rPr>
          <w:rFonts w:ascii="Times New Roman" w:hAnsi="Times New Roman"/>
          <w:sz w:val="20"/>
          <w:szCs w:val="20"/>
        </w:rPr>
        <w:t>When there was data for multiple years of the study, the</w:t>
      </w:r>
      <w:r w:rsidRPr="001057CB">
        <w:rPr>
          <w:rFonts w:ascii="Times New Roman" w:hAnsi="Times New Roman"/>
          <w:sz w:val="20"/>
          <w:szCs w:val="20"/>
        </w:rPr>
        <w:t xml:space="preserve"> predictor</w:t>
      </w:r>
      <w:r w:rsidR="00AB521F" w:rsidRPr="001057CB">
        <w:rPr>
          <w:rFonts w:ascii="Times New Roman" w:hAnsi="Times New Roman"/>
          <w:sz w:val="20"/>
          <w:szCs w:val="20"/>
        </w:rPr>
        <w:t xml:space="preserve"> data was matched to the midpoint</w:t>
      </w:r>
      <w:r w:rsidR="000F4066">
        <w:rPr>
          <w:rFonts w:ascii="Times New Roman" w:hAnsi="Times New Roman"/>
          <w:sz w:val="20"/>
          <w:szCs w:val="20"/>
        </w:rPr>
        <w:t xml:space="preserve"> year</w:t>
      </w:r>
      <w:r w:rsidR="00AB521F" w:rsidRPr="001057CB">
        <w:rPr>
          <w:rFonts w:ascii="Times New Roman" w:hAnsi="Times New Roman"/>
          <w:sz w:val="20"/>
          <w:szCs w:val="20"/>
        </w:rPr>
        <w:t xml:space="preserve"> of the study. </w:t>
      </w:r>
      <w:r w:rsidRPr="001057CB">
        <w:rPr>
          <w:rFonts w:ascii="Times New Roman" w:hAnsi="Times New Roman"/>
          <w:sz w:val="20"/>
          <w:szCs w:val="20"/>
        </w:rPr>
        <w:t>D</w:t>
      </w:r>
      <w:r w:rsidR="00AB521F" w:rsidRPr="001057CB">
        <w:rPr>
          <w:rFonts w:ascii="Times New Roman" w:hAnsi="Times New Roman"/>
          <w:sz w:val="20"/>
          <w:szCs w:val="20"/>
        </w:rPr>
        <w:t xml:space="preserve">ata was available for most countries from 1960-present, but many years </w:t>
      </w:r>
      <w:r w:rsidRPr="001057CB">
        <w:rPr>
          <w:rFonts w:ascii="Times New Roman" w:hAnsi="Times New Roman"/>
          <w:sz w:val="20"/>
          <w:szCs w:val="20"/>
        </w:rPr>
        <w:t xml:space="preserve">were </w:t>
      </w:r>
      <w:r w:rsidR="00AB521F" w:rsidRPr="001057CB">
        <w:rPr>
          <w:rFonts w:ascii="Times New Roman" w:hAnsi="Times New Roman"/>
          <w:sz w:val="20"/>
          <w:szCs w:val="20"/>
        </w:rPr>
        <w:t xml:space="preserve">missing data. </w:t>
      </w:r>
      <w:r w:rsidRPr="001057CB">
        <w:rPr>
          <w:rFonts w:ascii="Times New Roman" w:hAnsi="Times New Roman"/>
          <w:sz w:val="20"/>
          <w:szCs w:val="20"/>
        </w:rPr>
        <w:t>In these instances</w:t>
      </w:r>
      <w:r w:rsidR="00AB521F" w:rsidRPr="001057CB">
        <w:rPr>
          <w:rFonts w:ascii="Times New Roman" w:hAnsi="Times New Roman"/>
          <w:sz w:val="20"/>
          <w:szCs w:val="20"/>
        </w:rPr>
        <w:t xml:space="preserve">, values for the predictors associated with a study were estimated by linear interpolation. If only one value was available for any given predictor in the period 1980-present, that value was extracted for the study. </w:t>
      </w:r>
      <w:r w:rsidR="00331D73" w:rsidRPr="001057CB">
        <w:rPr>
          <w:rFonts w:ascii="Times New Roman" w:hAnsi="Times New Roman"/>
          <w:sz w:val="20"/>
          <w:szCs w:val="20"/>
        </w:rPr>
        <w:t xml:space="preserve">In the event that </w:t>
      </w:r>
      <w:r w:rsidR="00AB521F" w:rsidRPr="001057CB">
        <w:rPr>
          <w:rFonts w:ascii="Times New Roman" w:hAnsi="Times New Roman"/>
          <w:sz w:val="20"/>
          <w:szCs w:val="20"/>
        </w:rPr>
        <w:t xml:space="preserve">any data </w:t>
      </w:r>
      <w:r w:rsidR="00331D73" w:rsidRPr="001057CB">
        <w:rPr>
          <w:rFonts w:ascii="Times New Roman" w:hAnsi="Times New Roman"/>
          <w:sz w:val="20"/>
          <w:szCs w:val="20"/>
        </w:rPr>
        <w:t>were</w:t>
      </w:r>
      <w:r w:rsidR="00AB521F" w:rsidRPr="001057CB">
        <w:rPr>
          <w:rFonts w:ascii="Times New Roman" w:hAnsi="Times New Roman"/>
          <w:sz w:val="20"/>
          <w:szCs w:val="20"/>
        </w:rPr>
        <w:t xml:space="preserve"> still missing, we took the average value of the given predictor in the corresponding World Bank </w:t>
      </w:r>
      <w:r w:rsidR="00AB521F" w:rsidRPr="001057CB">
        <w:rPr>
          <w:rFonts w:ascii="Times New Roman" w:hAnsi="Times New Roman"/>
          <w:sz w:val="20"/>
          <w:szCs w:val="20"/>
        </w:rPr>
        <w:lastRenderedPageBreak/>
        <w:t>income group</w:t>
      </w:r>
      <w:r w:rsidR="00AE5C9D">
        <w:rPr>
          <w:rFonts w:ascii="Times New Roman" w:hAnsi="Times New Roman"/>
          <w:sz w:val="20"/>
          <w:szCs w:val="20"/>
        </w:rPr>
        <w:t xml:space="preserve"> in the year that the data was missing</w:t>
      </w:r>
      <w:r w:rsidR="00AB521F" w:rsidRPr="001057CB">
        <w:rPr>
          <w:rFonts w:ascii="Times New Roman" w:hAnsi="Times New Roman"/>
          <w:sz w:val="20"/>
          <w:szCs w:val="20"/>
        </w:rPr>
        <w:t>.</w:t>
      </w:r>
    </w:p>
    <w:p w14:paraId="2BD71570" w14:textId="77777777" w:rsidR="0092388C" w:rsidRPr="001057CB" w:rsidRDefault="0092388C" w:rsidP="0092388C">
      <w:pPr>
        <w:widowControl w:val="0"/>
        <w:autoSpaceDE w:val="0"/>
        <w:autoSpaceDN w:val="0"/>
        <w:adjustRightInd w:val="0"/>
        <w:spacing w:line="480" w:lineRule="auto"/>
        <w:rPr>
          <w:rFonts w:ascii="Times New Roman" w:hAnsi="Times New Roman"/>
          <w:sz w:val="20"/>
          <w:szCs w:val="20"/>
        </w:rPr>
      </w:pPr>
    </w:p>
    <w:p w14:paraId="7061BC8D" w14:textId="77777777" w:rsidR="00AB521F" w:rsidRPr="001057CB" w:rsidRDefault="00CF6F6B" w:rsidP="003159E3">
      <w:pPr>
        <w:pStyle w:val="Heading2"/>
        <w:spacing w:line="480" w:lineRule="auto"/>
        <w:rPr>
          <w:rFonts w:ascii="Times New Roman" w:hAnsi="Times New Roman"/>
          <w:b/>
          <w:i/>
          <w:color w:val="auto"/>
          <w:sz w:val="20"/>
          <w:szCs w:val="20"/>
        </w:rPr>
      </w:pPr>
      <w:r w:rsidRPr="001057CB">
        <w:rPr>
          <w:rFonts w:ascii="Times New Roman" w:hAnsi="Times New Roman"/>
          <w:b/>
          <w:i/>
          <w:color w:val="auto"/>
          <w:sz w:val="20"/>
          <w:szCs w:val="20"/>
        </w:rPr>
        <w:t>Subnational data</w:t>
      </w:r>
    </w:p>
    <w:p w14:paraId="2E793136" w14:textId="3F1B24EA" w:rsidR="00AB521F" w:rsidRDefault="00AB521F" w:rsidP="003159E3">
      <w:pPr>
        <w:spacing w:line="480" w:lineRule="auto"/>
        <w:rPr>
          <w:rFonts w:ascii="Times New Roman" w:hAnsi="Times New Roman"/>
          <w:sz w:val="20"/>
          <w:szCs w:val="20"/>
        </w:rPr>
      </w:pPr>
      <w:r w:rsidRPr="001057CB">
        <w:rPr>
          <w:rFonts w:ascii="Times New Roman" w:hAnsi="Times New Roman"/>
          <w:sz w:val="20"/>
          <w:szCs w:val="20"/>
        </w:rPr>
        <w:t xml:space="preserve">Three of the predictors in our model </w:t>
      </w:r>
      <w:r w:rsidR="005A1FA9" w:rsidRPr="001057CB">
        <w:rPr>
          <w:rFonts w:ascii="Times New Roman" w:hAnsi="Times New Roman"/>
          <w:sz w:val="20"/>
          <w:szCs w:val="20"/>
        </w:rPr>
        <w:t>were based on subnational data</w:t>
      </w:r>
      <w:r w:rsidRPr="001057CB">
        <w:rPr>
          <w:rFonts w:ascii="Times New Roman" w:hAnsi="Times New Roman"/>
          <w:sz w:val="20"/>
          <w:szCs w:val="20"/>
        </w:rPr>
        <w:t xml:space="preserve">: population density (persons per kilometer), </w:t>
      </w:r>
      <w:r w:rsidR="0070148F" w:rsidRPr="001057CB">
        <w:rPr>
          <w:rFonts w:ascii="Times New Roman" w:hAnsi="Times New Roman"/>
          <w:sz w:val="20"/>
          <w:szCs w:val="20"/>
        </w:rPr>
        <w:t>gross domestic product (</w:t>
      </w:r>
      <w:r w:rsidRPr="001057CB">
        <w:rPr>
          <w:rFonts w:ascii="Times New Roman" w:hAnsi="Times New Roman"/>
          <w:sz w:val="20"/>
          <w:szCs w:val="20"/>
        </w:rPr>
        <w:t>GDP</w:t>
      </w:r>
      <w:r w:rsidR="0070148F" w:rsidRPr="001057CB">
        <w:rPr>
          <w:rFonts w:ascii="Times New Roman" w:hAnsi="Times New Roman"/>
          <w:sz w:val="20"/>
          <w:szCs w:val="20"/>
        </w:rPr>
        <w:t>)</w:t>
      </w:r>
      <w:r w:rsidRPr="001057CB">
        <w:rPr>
          <w:rFonts w:ascii="Times New Roman" w:hAnsi="Times New Roman"/>
          <w:sz w:val="20"/>
          <w:szCs w:val="20"/>
        </w:rPr>
        <w:t xml:space="preserve"> per capita (adjusted for Purchasing Power Parity), and flood risk (measured as the number of floods between 1985 and 2011). </w:t>
      </w:r>
    </w:p>
    <w:p w14:paraId="0309C995" w14:textId="77777777" w:rsidR="00B51803" w:rsidRDefault="00B51803" w:rsidP="00B51803">
      <w:pPr>
        <w:spacing w:line="480" w:lineRule="auto"/>
        <w:rPr>
          <w:rFonts w:ascii="Times New Roman" w:hAnsi="Times New Roman"/>
          <w:b/>
          <w:i/>
          <w:sz w:val="20"/>
          <w:szCs w:val="20"/>
        </w:rPr>
      </w:pPr>
    </w:p>
    <w:p w14:paraId="5689E457" w14:textId="77777777" w:rsidR="00B51803" w:rsidRPr="001057CB" w:rsidRDefault="00B51803" w:rsidP="00B51803">
      <w:pPr>
        <w:spacing w:line="480" w:lineRule="auto"/>
        <w:rPr>
          <w:rFonts w:ascii="Times New Roman" w:hAnsi="Times New Roman"/>
          <w:sz w:val="20"/>
          <w:szCs w:val="20"/>
        </w:rPr>
      </w:pPr>
      <w:r w:rsidRPr="001057CB">
        <w:rPr>
          <w:rFonts w:ascii="Times New Roman" w:hAnsi="Times New Roman"/>
          <w:b/>
          <w:i/>
          <w:sz w:val="20"/>
          <w:szCs w:val="20"/>
        </w:rPr>
        <w:t>Population Density.</w:t>
      </w:r>
      <w:r w:rsidRPr="001057CB">
        <w:rPr>
          <w:rFonts w:ascii="Times New Roman" w:hAnsi="Times New Roman"/>
          <w:sz w:val="20"/>
          <w:szCs w:val="20"/>
        </w:rPr>
        <w:t xml:space="preserve"> We used population density maps with a resolution of 2</w:t>
      </w:r>
      <w:r>
        <w:rPr>
          <w:rFonts w:ascii="Times New Roman" w:hAnsi="Times New Roman"/>
          <w:sz w:val="20"/>
          <w:szCs w:val="20"/>
        </w:rPr>
        <w:t>.</w:t>
      </w:r>
      <w:r w:rsidRPr="001057CB">
        <w:rPr>
          <w:rFonts w:ascii="Times New Roman" w:hAnsi="Times New Roman"/>
          <w:sz w:val="20"/>
          <w:szCs w:val="20"/>
        </w:rPr>
        <w:t>5 arc-minutes from the National Aeronautics and Space Administration's Socioeconomic Data and Applications Center (SEDAC)</w:t>
      </w:r>
      <w:r w:rsidRPr="001057CB">
        <w:rPr>
          <w:rFonts w:ascii="Times New Roman" w:hAnsi="Times New Roman"/>
          <w:sz w:val="20"/>
          <w:szCs w:val="20"/>
        </w:rPr>
        <w:fldChar w:fldCharType="begin" w:fldLock="1"/>
      </w:r>
      <w:r>
        <w:rPr>
          <w:rFonts w:ascii="Times New Roman" w:hAnsi="Times New Roman"/>
          <w:sz w:val="20"/>
          <w:szCs w:val="20"/>
        </w:rPr>
        <w:instrText>ADDIN CSL_CITATION { "citationItems" : [ { "id" : "ITEM-1", "itemData" : { "id" : "ITEM-1", "issued" : { "date-parts" : [ [ "2005" ] ] }, "publisher" : "NASA Socioeconomic Data and Applications Center (SEDAC)", "publisher-place" : "Palisades, NY", "title" : "Gridded Population of the World, Version 3 (GPWv3): National Identifier Grid", "type" : "report" }, "uris" : [ "http://www.mendeley.com/documents/?uuid=dd4e2fe9-ab7a-451d-9bd1-e6a4878c3219" ] } ], "mendeley" : { "formattedCitation" : "[6]", "plainTextFormattedCitation" : "[6]", "previouslyFormattedCitation" : "[6]" }, "properties" : { "noteIndex" : 0 }, "schema" : "https://github.com/citation-style-language/schema/raw/master/csl-citation.json" }</w:instrText>
      </w:r>
      <w:r w:rsidRPr="001057CB">
        <w:rPr>
          <w:rFonts w:ascii="Times New Roman" w:hAnsi="Times New Roman"/>
          <w:sz w:val="20"/>
          <w:szCs w:val="20"/>
        </w:rPr>
        <w:fldChar w:fldCharType="separate"/>
      </w:r>
      <w:r w:rsidRPr="0031425E">
        <w:rPr>
          <w:rFonts w:ascii="Times New Roman" w:hAnsi="Times New Roman"/>
          <w:noProof/>
          <w:sz w:val="20"/>
          <w:szCs w:val="20"/>
        </w:rPr>
        <w:t>[6]</w:t>
      </w:r>
      <w:r w:rsidRPr="001057CB">
        <w:rPr>
          <w:rFonts w:ascii="Times New Roman" w:hAnsi="Times New Roman"/>
          <w:sz w:val="20"/>
          <w:szCs w:val="20"/>
        </w:rPr>
        <w:fldChar w:fldCharType="end"/>
      </w:r>
      <w:r w:rsidRPr="001057CB">
        <w:rPr>
          <w:rFonts w:ascii="Times New Roman" w:hAnsi="Times New Roman"/>
          <w:sz w:val="20"/>
          <w:szCs w:val="20"/>
        </w:rPr>
        <w:t>.</w:t>
      </w:r>
    </w:p>
    <w:p w14:paraId="2EED5056" w14:textId="77777777" w:rsidR="00C77444" w:rsidRDefault="00C77444" w:rsidP="003159E3">
      <w:pPr>
        <w:spacing w:line="480" w:lineRule="auto"/>
        <w:rPr>
          <w:rFonts w:ascii="Times New Roman" w:hAnsi="Times New Roman"/>
          <w:sz w:val="20"/>
          <w:szCs w:val="20"/>
        </w:rPr>
      </w:pPr>
    </w:p>
    <w:p w14:paraId="62288767" w14:textId="64E3C7F5" w:rsidR="008335FB" w:rsidRDefault="009A5C08" w:rsidP="003159E3">
      <w:pPr>
        <w:spacing w:line="480" w:lineRule="auto"/>
        <w:rPr>
          <w:rFonts w:ascii="Times New Roman" w:hAnsi="Times New Roman"/>
          <w:sz w:val="20"/>
          <w:szCs w:val="20"/>
        </w:rPr>
      </w:pPr>
      <w:r>
        <w:rPr>
          <w:rFonts w:ascii="Times New Roman" w:hAnsi="Times New Roman"/>
          <w:b/>
          <w:i/>
          <w:sz w:val="20"/>
          <w:szCs w:val="20"/>
        </w:rPr>
        <w:t>Health and W</w:t>
      </w:r>
      <w:r w:rsidR="00E3020F">
        <w:rPr>
          <w:rFonts w:ascii="Times New Roman" w:hAnsi="Times New Roman"/>
          <w:b/>
          <w:i/>
          <w:sz w:val="20"/>
          <w:szCs w:val="20"/>
        </w:rPr>
        <w:t>omen’</w:t>
      </w:r>
      <w:r>
        <w:rPr>
          <w:rFonts w:ascii="Times New Roman" w:hAnsi="Times New Roman"/>
          <w:b/>
          <w:i/>
          <w:sz w:val="20"/>
          <w:szCs w:val="20"/>
        </w:rPr>
        <w:t>s E</w:t>
      </w:r>
      <w:r w:rsidR="00E3020F">
        <w:rPr>
          <w:rFonts w:ascii="Times New Roman" w:hAnsi="Times New Roman"/>
          <w:b/>
          <w:i/>
          <w:sz w:val="20"/>
          <w:szCs w:val="20"/>
        </w:rPr>
        <w:t>ducation</w:t>
      </w:r>
      <w:r>
        <w:rPr>
          <w:rFonts w:ascii="Times New Roman" w:hAnsi="Times New Roman"/>
          <w:b/>
          <w:i/>
          <w:sz w:val="20"/>
          <w:szCs w:val="20"/>
        </w:rPr>
        <w:t xml:space="preserve"> D</w:t>
      </w:r>
      <w:r w:rsidR="009F1B28" w:rsidRPr="009F1B28">
        <w:rPr>
          <w:rFonts w:ascii="Times New Roman" w:hAnsi="Times New Roman"/>
          <w:b/>
          <w:i/>
          <w:sz w:val="20"/>
          <w:szCs w:val="20"/>
        </w:rPr>
        <w:t>ata</w:t>
      </w:r>
      <w:r w:rsidR="009F1B28">
        <w:rPr>
          <w:rFonts w:ascii="Times New Roman" w:hAnsi="Times New Roman"/>
          <w:sz w:val="20"/>
          <w:szCs w:val="20"/>
        </w:rPr>
        <w:t>. We used data compiled and harmonized from a variety of sources by Radboud University</w:t>
      </w:r>
      <w:r w:rsidR="001C3AEE">
        <w:rPr>
          <w:rFonts w:ascii="Times New Roman" w:hAnsi="Times New Roman"/>
          <w:sz w:val="20"/>
          <w:szCs w:val="20"/>
        </w:rPr>
        <w:t xml:space="preserve"> Nijmegen</w:t>
      </w:r>
      <w:r w:rsidR="009F1B28">
        <w:rPr>
          <w:rFonts w:ascii="Times New Roman" w:hAnsi="Times New Roman"/>
          <w:sz w:val="20"/>
          <w:szCs w:val="20"/>
        </w:rPr>
        <w:t xml:space="preserve">’s Global Data Lab. </w:t>
      </w:r>
      <w:r w:rsidR="00B51803">
        <w:rPr>
          <w:rFonts w:ascii="Times New Roman" w:hAnsi="Times New Roman"/>
          <w:sz w:val="20"/>
          <w:szCs w:val="20"/>
        </w:rPr>
        <w:t>Using</w:t>
      </w:r>
      <w:r w:rsidR="009F1B28">
        <w:rPr>
          <w:rFonts w:ascii="Times New Roman" w:hAnsi="Times New Roman"/>
          <w:sz w:val="20"/>
          <w:szCs w:val="20"/>
        </w:rPr>
        <w:t xml:space="preserve"> this database, we extracted the data aggregated by subnational region (usually the province level) for access to piped water, access to flush toilets, percent of children that are stunted, and the average number of years of education for women over the age of 20. Although these data were rich in te</w:t>
      </w:r>
      <w:r w:rsidR="001C3AEE">
        <w:rPr>
          <w:rFonts w:ascii="Times New Roman" w:hAnsi="Times New Roman"/>
          <w:sz w:val="20"/>
          <w:szCs w:val="20"/>
        </w:rPr>
        <w:t>rms of geographical detail, there</w:t>
      </w:r>
      <w:r w:rsidR="009F1B28">
        <w:rPr>
          <w:rFonts w:ascii="Times New Roman" w:hAnsi="Times New Roman"/>
          <w:sz w:val="20"/>
          <w:szCs w:val="20"/>
        </w:rPr>
        <w:t xml:space="preserve"> was limited resoluti</w:t>
      </w:r>
      <w:r w:rsidR="00C77444">
        <w:rPr>
          <w:rFonts w:ascii="Times New Roman" w:hAnsi="Times New Roman"/>
          <w:sz w:val="20"/>
          <w:szCs w:val="20"/>
        </w:rPr>
        <w:t>on in terms of temporal trends</w:t>
      </w:r>
      <w:r w:rsidR="0078412C">
        <w:rPr>
          <w:rFonts w:ascii="Times New Roman" w:hAnsi="Times New Roman"/>
          <w:sz w:val="20"/>
          <w:szCs w:val="20"/>
        </w:rPr>
        <w:t xml:space="preserve">. </w:t>
      </w:r>
      <w:r w:rsidR="006369BC">
        <w:rPr>
          <w:rFonts w:ascii="Times New Roman" w:hAnsi="Times New Roman"/>
          <w:sz w:val="20"/>
          <w:szCs w:val="20"/>
        </w:rPr>
        <w:t xml:space="preserve">For </w:t>
      </w:r>
      <w:r w:rsidR="001C2987">
        <w:rPr>
          <w:rFonts w:ascii="Times New Roman" w:hAnsi="Times New Roman"/>
          <w:sz w:val="20"/>
          <w:szCs w:val="20"/>
        </w:rPr>
        <w:t xml:space="preserve">the indices of </w:t>
      </w:r>
      <w:r w:rsidR="006369BC">
        <w:rPr>
          <w:rFonts w:ascii="Times New Roman" w:hAnsi="Times New Roman"/>
          <w:sz w:val="20"/>
          <w:szCs w:val="20"/>
        </w:rPr>
        <w:t xml:space="preserve">women’s education and </w:t>
      </w:r>
      <w:r w:rsidR="001C2987">
        <w:rPr>
          <w:rFonts w:ascii="Times New Roman" w:hAnsi="Times New Roman"/>
          <w:sz w:val="20"/>
          <w:szCs w:val="20"/>
        </w:rPr>
        <w:t xml:space="preserve">the prevalence of </w:t>
      </w:r>
      <w:r w:rsidR="006369BC">
        <w:rPr>
          <w:rFonts w:ascii="Times New Roman" w:hAnsi="Times New Roman"/>
          <w:sz w:val="20"/>
          <w:szCs w:val="20"/>
        </w:rPr>
        <w:t xml:space="preserve">stunting, we were able to use linear interpolation to estimate the values of the index in years </w:t>
      </w:r>
      <w:r w:rsidR="001C2987">
        <w:rPr>
          <w:rFonts w:ascii="Times New Roman" w:hAnsi="Times New Roman"/>
          <w:sz w:val="20"/>
          <w:szCs w:val="20"/>
        </w:rPr>
        <w:t>for which there was little data.</w:t>
      </w:r>
      <w:r w:rsidR="00E06CB6">
        <w:rPr>
          <w:rFonts w:ascii="Times New Roman" w:hAnsi="Times New Roman"/>
          <w:sz w:val="20"/>
          <w:szCs w:val="20"/>
        </w:rPr>
        <w:t xml:space="preserve"> </w:t>
      </w:r>
      <w:r w:rsidR="001C2987">
        <w:rPr>
          <w:rFonts w:ascii="Times New Roman" w:hAnsi="Times New Roman"/>
          <w:sz w:val="20"/>
          <w:szCs w:val="20"/>
        </w:rPr>
        <w:t xml:space="preserve">For sanitation and flush toilets, </w:t>
      </w:r>
      <w:r w:rsidR="00C77444">
        <w:rPr>
          <w:rFonts w:ascii="Times New Roman" w:hAnsi="Times New Roman"/>
          <w:sz w:val="20"/>
          <w:szCs w:val="20"/>
        </w:rPr>
        <w:t xml:space="preserve">we used </w:t>
      </w:r>
      <w:r w:rsidR="001C2987">
        <w:rPr>
          <w:rFonts w:ascii="Times New Roman" w:hAnsi="Times New Roman"/>
          <w:sz w:val="20"/>
          <w:szCs w:val="20"/>
        </w:rPr>
        <w:t>data from the</w:t>
      </w:r>
      <w:r w:rsidR="00C77444">
        <w:rPr>
          <w:rFonts w:ascii="Times New Roman" w:hAnsi="Times New Roman"/>
          <w:sz w:val="20"/>
          <w:szCs w:val="20"/>
        </w:rPr>
        <w:t xml:space="preserve"> </w:t>
      </w:r>
      <w:r w:rsidR="001C2987">
        <w:rPr>
          <w:rFonts w:ascii="Times New Roman" w:hAnsi="Times New Roman"/>
          <w:sz w:val="20"/>
          <w:szCs w:val="20"/>
        </w:rPr>
        <w:t>WHO’s Joint Monitoring Programme</w:t>
      </w:r>
      <w:r w:rsidR="00E06CB6">
        <w:rPr>
          <w:rFonts w:ascii="Times New Roman" w:hAnsi="Times New Roman"/>
          <w:sz w:val="20"/>
          <w:szCs w:val="20"/>
        </w:rPr>
        <w:t xml:space="preserve"> (JMP)</w:t>
      </w:r>
      <w:r w:rsidR="001C2987">
        <w:rPr>
          <w:rFonts w:ascii="Times New Roman" w:hAnsi="Times New Roman"/>
          <w:sz w:val="20"/>
          <w:szCs w:val="20"/>
        </w:rPr>
        <w:t xml:space="preserve"> and the </w:t>
      </w:r>
      <w:r w:rsidR="00C77444">
        <w:rPr>
          <w:rFonts w:ascii="Times New Roman" w:hAnsi="Times New Roman"/>
          <w:sz w:val="20"/>
          <w:szCs w:val="20"/>
        </w:rPr>
        <w:t xml:space="preserve">World Bank’s WDI database </w:t>
      </w:r>
      <w:r w:rsidR="00B51803">
        <w:rPr>
          <w:rFonts w:ascii="Times New Roman" w:hAnsi="Times New Roman"/>
          <w:sz w:val="20"/>
          <w:szCs w:val="20"/>
        </w:rPr>
        <w:t xml:space="preserve">to impute the </w:t>
      </w:r>
      <w:r w:rsidR="00DA0A31">
        <w:rPr>
          <w:rFonts w:ascii="Times New Roman" w:hAnsi="Times New Roman"/>
          <w:sz w:val="20"/>
          <w:szCs w:val="20"/>
        </w:rPr>
        <w:t>magnitude</w:t>
      </w:r>
      <w:r w:rsidR="00B51803">
        <w:rPr>
          <w:rFonts w:ascii="Times New Roman" w:hAnsi="Times New Roman"/>
          <w:sz w:val="20"/>
          <w:szCs w:val="20"/>
        </w:rPr>
        <w:t xml:space="preserve"> of change </w:t>
      </w:r>
      <w:r w:rsidR="00D750C6">
        <w:rPr>
          <w:rFonts w:ascii="Times New Roman" w:hAnsi="Times New Roman"/>
          <w:sz w:val="20"/>
          <w:szCs w:val="20"/>
        </w:rPr>
        <w:t xml:space="preserve">in these indices at the national level </w:t>
      </w:r>
      <w:r w:rsidR="0078412C">
        <w:rPr>
          <w:rFonts w:ascii="Times New Roman" w:hAnsi="Times New Roman"/>
          <w:sz w:val="20"/>
          <w:szCs w:val="20"/>
        </w:rPr>
        <w:t xml:space="preserve">in order </w:t>
      </w:r>
      <w:r w:rsidR="00D750C6">
        <w:rPr>
          <w:rFonts w:ascii="Times New Roman" w:hAnsi="Times New Roman"/>
          <w:sz w:val="20"/>
          <w:szCs w:val="20"/>
        </w:rPr>
        <w:t>to extrapolate the</w:t>
      </w:r>
      <w:r w:rsidR="0078412C">
        <w:rPr>
          <w:rFonts w:ascii="Times New Roman" w:hAnsi="Times New Roman"/>
          <w:sz w:val="20"/>
          <w:szCs w:val="20"/>
        </w:rPr>
        <w:t xml:space="preserve"> values of these</w:t>
      </w:r>
      <w:r w:rsidR="00D750C6">
        <w:rPr>
          <w:rFonts w:ascii="Times New Roman" w:hAnsi="Times New Roman"/>
          <w:sz w:val="20"/>
          <w:szCs w:val="20"/>
        </w:rPr>
        <w:t xml:space="preserve"> indices </w:t>
      </w:r>
      <w:r w:rsidR="00E06CB6">
        <w:rPr>
          <w:rFonts w:ascii="Times New Roman" w:hAnsi="Times New Roman"/>
          <w:sz w:val="20"/>
          <w:szCs w:val="20"/>
        </w:rPr>
        <w:t xml:space="preserve">across time </w:t>
      </w:r>
      <w:r w:rsidR="00D750C6">
        <w:rPr>
          <w:rFonts w:ascii="Times New Roman" w:hAnsi="Times New Roman"/>
          <w:sz w:val="20"/>
          <w:szCs w:val="20"/>
        </w:rPr>
        <w:t>at the subnational level.</w:t>
      </w:r>
      <w:r w:rsidR="00E06CB6">
        <w:rPr>
          <w:rFonts w:ascii="Times New Roman" w:hAnsi="Times New Roman"/>
          <w:sz w:val="20"/>
          <w:szCs w:val="20"/>
        </w:rPr>
        <w:t xml:space="preserve"> For countries for which there was no subnational data, we used the national data from the WHO and the World Bank. If there was no national-level data for a country, </w:t>
      </w:r>
      <w:r w:rsidR="00E06CB6" w:rsidRPr="001057CB">
        <w:rPr>
          <w:rFonts w:ascii="Times New Roman" w:hAnsi="Times New Roman"/>
          <w:sz w:val="20"/>
          <w:szCs w:val="20"/>
        </w:rPr>
        <w:t>we took the average value of the given predictor in the corresponding World Bank income group</w:t>
      </w:r>
      <w:r w:rsidR="00E06CB6">
        <w:rPr>
          <w:rFonts w:ascii="Times New Roman" w:hAnsi="Times New Roman"/>
          <w:sz w:val="20"/>
          <w:szCs w:val="20"/>
        </w:rPr>
        <w:t xml:space="preserve"> in the year that the data was missing</w:t>
      </w:r>
      <w:r w:rsidR="00E06CB6" w:rsidRPr="001057CB">
        <w:rPr>
          <w:rFonts w:ascii="Times New Roman" w:hAnsi="Times New Roman"/>
          <w:sz w:val="20"/>
          <w:szCs w:val="20"/>
        </w:rPr>
        <w:t>.</w:t>
      </w:r>
    </w:p>
    <w:p w14:paraId="4CA1C90C" w14:textId="77777777" w:rsidR="008A3557" w:rsidRPr="001057CB" w:rsidRDefault="008A3557" w:rsidP="003159E3">
      <w:pPr>
        <w:spacing w:line="480" w:lineRule="auto"/>
        <w:rPr>
          <w:rFonts w:ascii="Times New Roman" w:hAnsi="Times New Roman"/>
          <w:sz w:val="20"/>
          <w:szCs w:val="20"/>
        </w:rPr>
      </w:pPr>
    </w:p>
    <w:p w14:paraId="2D9E30CF" w14:textId="262F54B2" w:rsidR="00AB521F" w:rsidRPr="001057CB" w:rsidRDefault="00CF6F6B" w:rsidP="003159E3">
      <w:pPr>
        <w:spacing w:line="480" w:lineRule="auto"/>
        <w:rPr>
          <w:rFonts w:ascii="Times New Roman" w:hAnsi="Times New Roman"/>
          <w:sz w:val="20"/>
          <w:szCs w:val="20"/>
        </w:rPr>
      </w:pPr>
      <w:r w:rsidRPr="001057CB">
        <w:rPr>
          <w:rFonts w:ascii="Times New Roman" w:hAnsi="Times New Roman"/>
          <w:b/>
          <w:i/>
          <w:sz w:val="20"/>
          <w:szCs w:val="20"/>
        </w:rPr>
        <w:t>Economic Data.</w:t>
      </w:r>
      <w:r w:rsidR="00AB521F" w:rsidRPr="001057CB">
        <w:rPr>
          <w:rFonts w:ascii="Times New Roman" w:hAnsi="Times New Roman"/>
          <w:sz w:val="20"/>
          <w:szCs w:val="20"/>
        </w:rPr>
        <w:t xml:space="preserve"> In order to capture subnational economic data, we </w:t>
      </w:r>
      <w:r w:rsidR="00BB43AA" w:rsidRPr="001057CB">
        <w:rPr>
          <w:rFonts w:ascii="Times New Roman" w:hAnsi="Times New Roman"/>
          <w:sz w:val="20"/>
          <w:szCs w:val="20"/>
        </w:rPr>
        <w:t>used</w:t>
      </w:r>
      <w:r w:rsidR="00AB521F" w:rsidRPr="001057CB">
        <w:rPr>
          <w:rFonts w:ascii="Times New Roman" w:hAnsi="Times New Roman"/>
          <w:sz w:val="20"/>
          <w:szCs w:val="20"/>
        </w:rPr>
        <w:t xml:space="preserve"> </w:t>
      </w:r>
      <w:r w:rsidR="003D0C07" w:rsidRPr="001057CB">
        <w:rPr>
          <w:rFonts w:ascii="Times New Roman" w:hAnsi="Times New Roman"/>
          <w:sz w:val="20"/>
          <w:szCs w:val="20"/>
        </w:rPr>
        <w:t>Geographically-</w:t>
      </w:r>
      <w:r w:rsidR="00AB521F" w:rsidRPr="001057CB">
        <w:rPr>
          <w:rFonts w:ascii="Times New Roman" w:hAnsi="Times New Roman"/>
          <w:sz w:val="20"/>
          <w:szCs w:val="20"/>
        </w:rPr>
        <w:t>based Economic data (G-Econ 4.0) available from Yale University (gecon.yale.edu)</w:t>
      </w:r>
      <w:r w:rsidR="000F4772">
        <w:rPr>
          <w:rFonts w:ascii="Times New Roman" w:hAnsi="Times New Roman"/>
          <w:sz w:val="20"/>
          <w:szCs w:val="20"/>
        </w:rPr>
        <w:t xml:space="preserve"> </w:t>
      </w:r>
      <w:r w:rsidR="005530B6" w:rsidRPr="001057CB">
        <w:rPr>
          <w:rFonts w:ascii="Times New Roman" w:hAnsi="Times New Roman"/>
          <w:sz w:val="20"/>
          <w:szCs w:val="20"/>
        </w:rPr>
        <w:fldChar w:fldCharType="begin" w:fldLock="1"/>
      </w:r>
      <w:r w:rsidR="0031425E">
        <w:rPr>
          <w:rFonts w:ascii="Times New Roman" w:hAnsi="Times New Roman"/>
          <w:sz w:val="20"/>
          <w:szCs w:val="20"/>
        </w:rPr>
        <w:instrText>ADDIN CSL_CITATION { "citationItems" : [ { "id" : "ITEM-1", "itemData" : { "DOI" : "10.1073/pnas.0509842103", "ISBN" : "0027-8424\\r1091-6490", "ISSN" : "0027-8424", "PMID" : "16473945", "abstract" : "The linkage between economic activity and geography is obvious: Populations cluster mainly on coasts and rarely on ice sheets. Past studies of the relationships between economic activity and geography have been hampered by limited spatial data on economic activity. The present study introduces data on global economic activity, the G-Econ database, which measures economic activity for all large countries, measured at a 1 degree latitude by 1 degree longitude scale. The methodologies for the study are described. Three applications of the data are investigated. First, the puzzling \"climate-output reversal\" is detected, whereby the relationship between temperature and output is negative when measured on a per capita basis and strongly positive on a per area basis. Second, the database allows better resolution of the impact of geographic attributes on African poverty, finding geography is an important source of income differences relative to high-income regions. Finally, we use the G-Econ data to provide estimates of the economic impact of greenhouse warming, with larger estimates of warming damages than past studies.", "author" : [ { "dropping-particle" : "", "family" : "Nordhaus", "given" : "William D.", "non-dropping-particle" : "", "parse-names" : false, "suffix" : "" } ], "container-title" : "Proceedings of the National Academy of Sciences of the United States of America", "id" : "ITEM-1", "issue" : "10", "issued" : { "date-parts" : [ [ "2006" ] ] }, "page" : "3510-7", "title" : "Geography and macroeconomics: new data and new findings.", "type" : "article-journal", "volume" : "103" }, "uris" : [ "http://www.mendeley.com/documents/?uuid=34fc3e1d-cf9d-4db6-9311-1c3485059caf" ] }, { "id" : "ITEM-2", "itemData" : { "author" : [ { "dropping-particle" : "", "family" : "Nordhaus", "given" : "William D", "non-dropping-particle" : "", "parse-names" : false, "suffix" : "" }, { "dropping-particle" : "", "family" : "Chen", "given" : "Xi", "non-dropping-particle" : "", "parse-names" : false, "suffix" : "" } ], "container-title" : "The B. E. Journal of Economic Analysis &amp; Policy", "id" : "ITEM-2", "issue" : "2", "issued" : { "date-parts" : [ [ "2009" ] ] }, "title" : "Geography: Graphics and Economics", "type" : "article-journal", "volume" : "9" }, "uris" : [ "http://www.mendeley.com/documents/?uuid=0651443c-151e-47a5-b0cc-5a67e1534ff7" ] } ], "mendeley" : { "formattedCitation" : "[7,8]", "plainTextFormattedCitation" : "[7,8]", "previouslyFormattedCitation" : "[7,8]" }, "properties" : { "noteIndex" : 0 }, "schema" : "https://github.com/citation-style-language/schema/raw/master/csl-citation.json" }</w:instrText>
      </w:r>
      <w:r w:rsidR="005530B6" w:rsidRPr="001057CB">
        <w:rPr>
          <w:rFonts w:ascii="Times New Roman" w:hAnsi="Times New Roman"/>
          <w:sz w:val="20"/>
          <w:szCs w:val="20"/>
        </w:rPr>
        <w:fldChar w:fldCharType="separate"/>
      </w:r>
      <w:r w:rsidR="0031425E" w:rsidRPr="0031425E">
        <w:rPr>
          <w:rFonts w:ascii="Times New Roman" w:hAnsi="Times New Roman"/>
          <w:noProof/>
          <w:sz w:val="20"/>
          <w:szCs w:val="20"/>
        </w:rPr>
        <w:t>[7,8]</w:t>
      </w:r>
      <w:r w:rsidR="005530B6" w:rsidRPr="001057CB">
        <w:rPr>
          <w:rFonts w:ascii="Times New Roman" w:hAnsi="Times New Roman"/>
          <w:sz w:val="20"/>
          <w:szCs w:val="20"/>
        </w:rPr>
        <w:fldChar w:fldCharType="end"/>
      </w:r>
      <w:r w:rsidR="00AB521F" w:rsidRPr="001057CB">
        <w:rPr>
          <w:rFonts w:ascii="Times New Roman" w:hAnsi="Times New Roman"/>
          <w:sz w:val="20"/>
          <w:szCs w:val="20"/>
        </w:rPr>
        <w:t xml:space="preserve">. The dataset contains </w:t>
      </w:r>
      <w:r w:rsidR="00BB43AA" w:rsidRPr="001057CB">
        <w:rPr>
          <w:rFonts w:ascii="Times New Roman" w:hAnsi="Times New Roman"/>
          <w:sz w:val="20"/>
          <w:szCs w:val="20"/>
        </w:rPr>
        <w:t xml:space="preserve">point data at </w:t>
      </w:r>
      <w:r w:rsidR="00BB43AA" w:rsidRPr="001057CB">
        <w:rPr>
          <w:rFonts w:ascii="Times New Roman" w:hAnsi="Times New Roman"/>
          <w:sz w:val="20"/>
          <w:szCs w:val="20"/>
        </w:rPr>
        <w:lastRenderedPageBreak/>
        <w:t xml:space="preserve">1-degree resolution for </w:t>
      </w:r>
      <w:r w:rsidR="00AB521F" w:rsidRPr="001057CB">
        <w:rPr>
          <w:rFonts w:ascii="Times New Roman" w:hAnsi="Times New Roman"/>
          <w:sz w:val="20"/>
          <w:szCs w:val="20"/>
        </w:rPr>
        <w:t xml:space="preserve">GDP (adjusted for Purchasing Power Parity) </w:t>
      </w:r>
      <w:r w:rsidR="00BB43AA" w:rsidRPr="001057CB">
        <w:rPr>
          <w:rFonts w:ascii="Times New Roman" w:hAnsi="Times New Roman"/>
          <w:sz w:val="20"/>
          <w:szCs w:val="20"/>
        </w:rPr>
        <w:t>at</w:t>
      </w:r>
      <w:r w:rsidR="00AB521F" w:rsidRPr="001057CB">
        <w:rPr>
          <w:rFonts w:ascii="Times New Roman" w:hAnsi="Times New Roman"/>
          <w:sz w:val="20"/>
          <w:szCs w:val="20"/>
        </w:rPr>
        <w:t xml:space="preserve"> four time points: 1990, 1995, 2000, 2005</w:t>
      </w:r>
      <w:r w:rsidR="005A1FA9" w:rsidRPr="001057CB">
        <w:rPr>
          <w:rFonts w:ascii="Times New Roman" w:hAnsi="Times New Roman"/>
          <w:sz w:val="20"/>
          <w:szCs w:val="20"/>
        </w:rPr>
        <w:t>,</w:t>
      </w:r>
      <w:r w:rsidR="00AB521F" w:rsidRPr="001057CB">
        <w:rPr>
          <w:rFonts w:ascii="Times New Roman" w:hAnsi="Times New Roman"/>
          <w:sz w:val="20"/>
          <w:szCs w:val="20"/>
        </w:rPr>
        <w:t xml:space="preserve"> as well as approximate population counts </w:t>
      </w:r>
      <w:r w:rsidR="005A1FA9" w:rsidRPr="001057CB">
        <w:rPr>
          <w:rFonts w:ascii="Times New Roman" w:hAnsi="Times New Roman"/>
          <w:sz w:val="20"/>
          <w:szCs w:val="20"/>
        </w:rPr>
        <w:t>for each</w:t>
      </w:r>
      <w:r w:rsidR="00AB521F" w:rsidRPr="001057CB">
        <w:rPr>
          <w:rFonts w:ascii="Times New Roman" w:hAnsi="Times New Roman"/>
          <w:sz w:val="20"/>
          <w:szCs w:val="20"/>
        </w:rPr>
        <w:t xml:space="preserve"> location. </w:t>
      </w:r>
    </w:p>
    <w:p w14:paraId="4AE5AAFD" w14:textId="77777777" w:rsidR="006A6AFB" w:rsidRPr="001057CB" w:rsidRDefault="006A6AFB" w:rsidP="003159E3">
      <w:pPr>
        <w:spacing w:line="480" w:lineRule="auto"/>
        <w:rPr>
          <w:rFonts w:ascii="Times New Roman" w:hAnsi="Times New Roman"/>
          <w:sz w:val="20"/>
          <w:szCs w:val="20"/>
        </w:rPr>
      </w:pPr>
    </w:p>
    <w:p w14:paraId="7A2170F3" w14:textId="37EDED98" w:rsidR="006A6AFB" w:rsidRPr="001057CB" w:rsidRDefault="006A6AFB" w:rsidP="003159E3">
      <w:pPr>
        <w:spacing w:line="480" w:lineRule="auto"/>
        <w:rPr>
          <w:rFonts w:ascii="Times New Roman" w:hAnsi="Times New Roman"/>
          <w:sz w:val="20"/>
          <w:szCs w:val="20"/>
        </w:rPr>
      </w:pPr>
      <w:r w:rsidRPr="001057CB">
        <w:rPr>
          <w:rFonts w:ascii="Times New Roman" w:hAnsi="Times New Roman"/>
          <w:sz w:val="20"/>
          <w:szCs w:val="20"/>
        </w:rPr>
        <w:t xml:space="preserve">We used these data to compute GDP per capita, and we used a linear interpolation of these data to create a raster file of GDP per capita. Geographic data were missing from some countries in some years; for these countries we assigned values equal to the GDP per capita reported to the World Bank's World Development Index (WDI) for the whole country for that year. </w:t>
      </w:r>
    </w:p>
    <w:p w14:paraId="2D364C91" w14:textId="77777777" w:rsidR="00E54335" w:rsidRPr="001057CB" w:rsidRDefault="00E54335" w:rsidP="003159E3">
      <w:pPr>
        <w:spacing w:line="480" w:lineRule="auto"/>
        <w:rPr>
          <w:rFonts w:ascii="Times New Roman" w:hAnsi="Times New Roman"/>
          <w:sz w:val="20"/>
          <w:szCs w:val="20"/>
        </w:rPr>
      </w:pPr>
    </w:p>
    <w:p w14:paraId="27095CB5" w14:textId="77777777" w:rsidR="00E54335" w:rsidRPr="001057CB" w:rsidRDefault="00E54335" w:rsidP="003159E3">
      <w:pPr>
        <w:spacing w:line="480" w:lineRule="auto"/>
        <w:rPr>
          <w:rFonts w:ascii="Times New Roman" w:hAnsi="Times New Roman"/>
          <w:sz w:val="20"/>
          <w:szCs w:val="20"/>
        </w:rPr>
      </w:pPr>
      <w:r w:rsidRPr="001057CB">
        <w:rPr>
          <w:rFonts w:ascii="Times New Roman" w:hAnsi="Times New Roman"/>
          <w:sz w:val="20"/>
          <w:szCs w:val="20"/>
        </w:rPr>
        <w:t>For the years 2005-2014, we used the national GDP per capita growth figures from the World Bank to project the subnational GDP estimates from 2005 to 2015. The drawback of this approach is that it assumes that the economy in the country grows homogenously; this may be inaccurate in countries with increasing economic disparities among different regions.</w:t>
      </w:r>
    </w:p>
    <w:p w14:paraId="28C34539" w14:textId="77777777" w:rsidR="00AB521F" w:rsidRPr="001057CB" w:rsidRDefault="00AB521F" w:rsidP="003159E3">
      <w:pPr>
        <w:spacing w:line="480" w:lineRule="auto"/>
        <w:rPr>
          <w:rFonts w:ascii="Times New Roman" w:hAnsi="Times New Roman"/>
          <w:sz w:val="20"/>
          <w:szCs w:val="20"/>
        </w:rPr>
      </w:pPr>
    </w:p>
    <w:p w14:paraId="368E6AC9" w14:textId="69CC2CF8" w:rsidR="0070148F" w:rsidRPr="001057CB" w:rsidRDefault="0070148F" w:rsidP="003159E3">
      <w:pPr>
        <w:widowControl w:val="0"/>
        <w:autoSpaceDE w:val="0"/>
        <w:autoSpaceDN w:val="0"/>
        <w:adjustRightInd w:val="0"/>
        <w:spacing w:line="480" w:lineRule="auto"/>
        <w:rPr>
          <w:rFonts w:ascii="Times New Roman" w:hAnsi="Times New Roman"/>
          <w:sz w:val="20"/>
          <w:szCs w:val="20"/>
        </w:rPr>
      </w:pPr>
      <w:r w:rsidRPr="001057CB">
        <w:rPr>
          <w:rFonts w:ascii="Times New Roman" w:hAnsi="Times New Roman"/>
          <w:b/>
          <w:i/>
          <w:sz w:val="20"/>
          <w:szCs w:val="20"/>
        </w:rPr>
        <w:t>Flood Risk</w:t>
      </w:r>
      <w:r w:rsidR="00AE5C9D">
        <w:rPr>
          <w:rFonts w:ascii="Times New Roman" w:hAnsi="Times New Roman"/>
          <w:b/>
          <w:i/>
          <w:sz w:val="20"/>
          <w:szCs w:val="20"/>
        </w:rPr>
        <w:t xml:space="preserve"> and Water Stress</w:t>
      </w:r>
      <w:r w:rsidRPr="001057CB">
        <w:rPr>
          <w:rFonts w:ascii="Times New Roman" w:hAnsi="Times New Roman"/>
          <w:b/>
          <w:i/>
          <w:sz w:val="20"/>
          <w:szCs w:val="20"/>
        </w:rPr>
        <w:t xml:space="preserve">. </w:t>
      </w:r>
      <w:r w:rsidRPr="001057CB">
        <w:rPr>
          <w:rFonts w:ascii="Times New Roman" w:hAnsi="Times New Roman"/>
          <w:sz w:val="20"/>
          <w:szCs w:val="20"/>
        </w:rPr>
        <w:t>We used the flood risk maps at 0</w:t>
      </w:r>
      <w:r w:rsidR="00A23D35">
        <w:rPr>
          <w:rFonts w:ascii="Times New Roman" w:hAnsi="Times New Roman"/>
          <w:sz w:val="20"/>
          <w:szCs w:val="20"/>
        </w:rPr>
        <w:t>.</w:t>
      </w:r>
      <w:r w:rsidRPr="001057CB">
        <w:rPr>
          <w:rFonts w:ascii="Times New Roman" w:hAnsi="Times New Roman"/>
          <w:sz w:val="20"/>
          <w:szCs w:val="20"/>
        </w:rPr>
        <w:t>5-degree resolution from the World Resource Institute</w:t>
      </w:r>
      <w:r w:rsidRPr="001057CB">
        <w:rPr>
          <w:rFonts w:ascii="Times New Roman" w:hAnsi="Times New Roman"/>
          <w:sz w:val="20"/>
          <w:szCs w:val="20"/>
        </w:rPr>
        <w:fldChar w:fldCharType="begin" w:fldLock="1"/>
      </w:r>
      <w:r w:rsidR="0031425E">
        <w:rPr>
          <w:rFonts w:ascii="Times New Roman" w:hAnsi="Times New Roman"/>
          <w:sz w:val="20"/>
          <w:szCs w:val="20"/>
        </w:rPr>
        <w:instrText>ADDIN CSL_CITATION { "citationItems" : [ { "id" : "ITEM-1", "itemData" : { "DOI" : "10.1007/s11069-010-9537-2", "ISBN" : "0921-030X", "ISSN" : "0921030X", "abstract" : "Floods have profound impacts on populations worldwide in terms of both loss of life and property. A global inventory of floods is an important tool for quantifying the spatial and temporal distribution of floods and for evaluating global flood prediction models. Several global hazard inventories currently exist; however, their utility for spatiotemporal analysis of global floods is limited. The existing flood catalogs either fail to record the geospatial area over which the flood impacted or restrict the types of flood events included in the database according to a set of criteria, limiting the scope of the inventory. To improve upon existing databases, and make it more comprehensive, we have compiled a digitized Global Flood Inventory (GFI) for the period 1998\u20132008 which also geo-references each flood event by latitude and longitude. This technical report presents the methodology used to compile the GFI and preliminary findings on the spatial and temporal distributions of the flooding events that are contained in the inventory.", "author" : [ { "dropping-particle" : "", "family" : "Adhikari", "given" : "Pradeep", "non-dropping-particle" : "", "parse-names" : false, "suffix" : "" }, { "dropping-particle" : "", "family" : "Hong", "given" : "Yang", "non-dropping-particle" : "", "parse-names" : false, "suffix" : "" }, { "dropping-particle" : "", "family" : "Douglas", "given" : "Kimberly R.", "non-dropping-particle" : "", "parse-names" : false, "suffix" : "" }, { "dropping-particle" : "", "family" : "Kirschbaum", "given" : "Dalia Bach", "non-dropping-particle" : "", "parse-names" : false, "suffix" : "" }, { "dropping-particle" : "", "family" : "Gourley", "given" : "Jonathan", "non-dropping-particle" : "", "parse-names" : false, "suffix" : "" }, { "dropping-particle" : "", "family" : "Adler", "given" : "Robert", "non-dropping-particle" : "", "parse-names" : false, "suffix" : "" }, { "dropping-particle" : "", "family" : "Brakenridge", "given" : "G. Robert", "non-dropping-particle" : "", "parse-names" : false, "suffix" : "" } ], "container-title" : "Natural Hazards", "id" : "ITEM-1", "issue" : "2", "issued" : { "date-parts" : [ [ "2010" ] ] }, "page" : "405-422", "title" : "A digitized global flood inventory (1998-2008): Compilation and preliminary results", "type" : "article-journal", "volume" : "55" }, "uris" : [ "http://www.mendeley.com/documents/?uuid=dad55a90-3fe9-4a66-b8c0-a6884f657e9f" ] } ], "mendeley" : { "formattedCitation" : "[9]", "plainTextFormattedCitation" : "[9]", "previouslyFormattedCitation" : "[9]" }, "properties" : { "noteIndex" : 0 }, "schema" : "https://github.com/citation-style-language/schema/raw/master/csl-citation.json" }</w:instrText>
      </w:r>
      <w:r w:rsidRPr="001057CB">
        <w:rPr>
          <w:rFonts w:ascii="Times New Roman" w:hAnsi="Times New Roman"/>
          <w:sz w:val="20"/>
          <w:szCs w:val="20"/>
        </w:rPr>
        <w:fldChar w:fldCharType="separate"/>
      </w:r>
      <w:r w:rsidR="0031425E" w:rsidRPr="0031425E">
        <w:rPr>
          <w:rFonts w:ascii="Times New Roman" w:hAnsi="Times New Roman"/>
          <w:noProof/>
          <w:sz w:val="20"/>
          <w:szCs w:val="20"/>
        </w:rPr>
        <w:t>[9]</w:t>
      </w:r>
      <w:r w:rsidRPr="001057CB">
        <w:rPr>
          <w:rFonts w:ascii="Times New Roman" w:hAnsi="Times New Roman"/>
          <w:sz w:val="20"/>
          <w:szCs w:val="20"/>
        </w:rPr>
        <w:fldChar w:fldCharType="end"/>
      </w:r>
      <w:r w:rsidRPr="001057CB">
        <w:rPr>
          <w:rFonts w:ascii="Times New Roman" w:hAnsi="Times New Roman"/>
          <w:sz w:val="20"/>
          <w:szCs w:val="20"/>
        </w:rPr>
        <w:t>.</w:t>
      </w:r>
      <w:r w:rsidR="00AE5C9D">
        <w:rPr>
          <w:rFonts w:ascii="Times New Roman" w:hAnsi="Times New Roman"/>
          <w:sz w:val="20"/>
          <w:szCs w:val="20"/>
        </w:rPr>
        <w:t xml:space="preserve"> We used the water stress maps at 0.5-degree resolution from the</w:t>
      </w:r>
      <w:r w:rsidR="0031425E">
        <w:rPr>
          <w:rFonts w:ascii="Times New Roman" w:hAnsi="Times New Roman"/>
          <w:sz w:val="20"/>
          <w:szCs w:val="20"/>
        </w:rPr>
        <w:t xml:space="preserve"> Water Footprint Network in collaboration with the University of Twente (Netherlands)</w:t>
      </w:r>
      <w:r w:rsidR="00AE5C9D">
        <w:rPr>
          <w:rFonts w:ascii="Times New Roman" w:hAnsi="Times New Roman"/>
          <w:sz w:val="20"/>
          <w:szCs w:val="20"/>
        </w:rPr>
        <w:t>, which est</w:t>
      </w:r>
      <w:r w:rsidR="006F4C10">
        <w:rPr>
          <w:rFonts w:ascii="Times New Roman" w:hAnsi="Times New Roman"/>
          <w:sz w:val="20"/>
          <w:szCs w:val="20"/>
        </w:rPr>
        <w:t xml:space="preserve">imated the map </w:t>
      </w:r>
      <w:r w:rsidR="0031425E">
        <w:rPr>
          <w:rFonts w:ascii="Times New Roman" w:hAnsi="Times New Roman"/>
          <w:sz w:val="20"/>
          <w:szCs w:val="20"/>
        </w:rPr>
        <w:t>of water scarcity for the period of</w:t>
      </w:r>
      <w:r w:rsidR="006F4C10">
        <w:rPr>
          <w:rFonts w:ascii="Times New Roman" w:hAnsi="Times New Roman"/>
          <w:sz w:val="20"/>
          <w:szCs w:val="20"/>
        </w:rPr>
        <w:t xml:space="preserve"> </w:t>
      </w:r>
      <w:r w:rsidR="0031425E">
        <w:rPr>
          <w:rFonts w:ascii="Times New Roman" w:hAnsi="Times New Roman"/>
          <w:sz w:val="20"/>
          <w:szCs w:val="20"/>
        </w:rPr>
        <w:t>1996-</w:t>
      </w:r>
      <w:r w:rsidR="006F4C10">
        <w:rPr>
          <w:rFonts w:ascii="Times New Roman" w:hAnsi="Times New Roman"/>
          <w:sz w:val="20"/>
          <w:szCs w:val="20"/>
        </w:rPr>
        <w:t>2005</w:t>
      </w:r>
      <w:r w:rsidR="006F4C10">
        <w:rPr>
          <w:rFonts w:ascii="Times New Roman" w:hAnsi="Times New Roman"/>
          <w:sz w:val="20"/>
          <w:szCs w:val="20"/>
        </w:rPr>
        <w:fldChar w:fldCharType="begin" w:fldLock="1"/>
      </w:r>
      <w:r w:rsidR="0031425E">
        <w:rPr>
          <w:rFonts w:ascii="Times New Roman" w:hAnsi="Times New Roman"/>
          <w:sz w:val="20"/>
          <w:szCs w:val="20"/>
        </w:rPr>
        <w:instrText>ADDIN CSL_CITATION { "citationItems" : [ { "id" : "ITEM-1", "itemData" : { "DOI" : "10.1126/sciadv.1500323", "ISBN" : "2375-2548", "ISSN" : "2375-2548", "PMID" : "10894773", "abstract" : "Freshwater scarcity is increasingly perceived as a global systemic risk. Previous global water scarcity assessments, measuring water scarcity annually, have underestimated experienced water scarcity by failing to capture the sea-sonal fluctuations in water consumption and availability. We assess blue water scarcity globally at a high spatial resolution on a monthly basis. We find that two-thirds of the global population (4.0 billion people) live under conditions of severe water scarcity at least 1 month of the year. Nearly half of those people live in India and China. Half a billion people in the world face severe water scarcity all year round. Putting caps to water consumption by river basin, increasing water-use efficiencies, and better sharing of the limited freshwater resources will be key in reducing the threat posed by water scarcity on biodiversity and human welfare.", "author" : [ { "dropping-particle" : "", "family" : "Mekonnen", "given" : "Mesfin M", "non-dropping-particle" : "", "parse-names" : false, "suffix" : "" }, { "dropping-particle" : "", "family" : "Hoekstra", "given" : "Arjen Y", "non-dropping-particle" : "", "parse-names" : false, "suffix" : "" } ], "container-title" : "Science Advances", "id" : "ITEM-1", "issue" : "2", "issued" : { "date-parts" : [ [ "2016" ] ] }, "page" : "e1500323", "title" : "Four billion people facing severe water scarcity", "type" : "article-journal", "volume" : "2" }, "uris" : [ "http://www.mendeley.com/documents/?uuid=2f3c6fb1-8103-453c-b99b-20f347cd6ea8" ] } ], "mendeley" : { "formattedCitation" : "[10]", "plainTextFormattedCitation" : "[10]", "previouslyFormattedCitation" : "[10]" }, "properties" : { "noteIndex" : 0 }, "schema" : "https://github.com/citation-style-language/schema/raw/master/csl-citation.json" }</w:instrText>
      </w:r>
      <w:r w:rsidR="006F4C10">
        <w:rPr>
          <w:rFonts w:ascii="Times New Roman" w:hAnsi="Times New Roman"/>
          <w:sz w:val="20"/>
          <w:szCs w:val="20"/>
        </w:rPr>
        <w:fldChar w:fldCharType="separate"/>
      </w:r>
      <w:r w:rsidR="0031425E" w:rsidRPr="0031425E">
        <w:rPr>
          <w:rFonts w:ascii="Times New Roman" w:hAnsi="Times New Roman"/>
          <w:noProof/>
          <w:sz w:val="20"/>
          <w:szCs w:val="20"/>
        </w:rPr>
        <w:t>[10]</w:t>
      </w:r>
      <w:r w:rsidR="006F4C10">
        <w:rPr>
          <w:rFonts w:ascii="Times New Roman" w:hAnsi="Times New Roman"/>
          <w:sz w:val="20"/>
          <w:szCs w:val="20"/>
        </w:rPr>
        <w:fldChar w:fldCharType="end"/>
      </w:r>
      <w:r w:rsidR="00AE5C9D">
        <w:rPr>
          <w:rFonts w:ascii="Times New Roman" w:hAnsi="Times New Roman"/>
          <w:sz w:val="20"/>
          <w:szCs w:val="20"/>
        </w:rPr>
        <w:t>.</w:t>
      </w:r>
    </w:p>
    <w:p w14:paraId="4E268378" w14:textId="77777777" w:rsidR="0070148F" w:rsidRPr="001057CB" w:rsidRDefault="0070148F" w:rsidP="003159E3">
      <w:pPr>
        <w:spacing w:line="480" w:lineRule="auto"/>
        <w:rPr>
          <w:rFonts w:ascii="Times New Roman" w:hAnsi="Times New Roman"/>
          <w:sz w:val="20"/>
          <w:szCs w:val="20"/>
        </w:rPr>
      </w:pPr>
    </w:p>
    <w:p w14:paraId="456702F1" w14:textId="25223856" w:rsidR="0020482E" w:rsidRPr="001057CB" w:rsidRDefault="00517F94" w:rsidP="003159E3">
      <w:pPr>
        <w:pStyle w:val="Heading2"/>
        <w:spacing w:line="480" w:lineRule="auto"/>
        <w:rPr>
          <w:rFonts w:ascii="Times New Roman" w:hAnsi="Times New Roman"/>
          <w:b/>
          <w:i/>
          <w:color w:val="auto"/>
          <w:sz w:val="20"/>
          <w:szCs w:val="20"/>
        </w:rPr>
      </w:pPr>
      <w:r w:rsidRPr="001057CB">
        <w:rPr>
          <w:rFonts w:ascii="Times New Roman" w:hAnsi="Times New Roman"/>
          <w:b/>
          <w:i/>
          <w:color w:val="auto"/>
          <w:sz w:val="20"/>
          <w:szCs w:val="20"/>
        </w:rPr>
        <w:t>Data Processing</w:t>
      </w:r>
    </w:p>
    <w:p w14:paraId="194EC2A1" w14:textId="0E74E683" w:rsidR="00B961FE" w:rsidRPr="001057CB" w:rsidRDefault="00AB1FB1" w:rsidP="003159E3">
      <w:pPr>
        <w:spacing w:line="480" w:lineRule="auto"/>
        <w:rPr>
          <w:rFonts w:ascii="Times New Roman" w:hAnsi="Times New Roman"/>
          <w:sz w:val="20"/>
          <w:szCs w:val="20"/>
        </w:rPr>
      </w:pPr>
      <w:r w:rsidRPr="001057CB">
        <w:rPr>
          <w:rFonts w:ascii="Times New Roman" w:hAnsi="Times New Roman"/>
          <w:b/>
          <w:i/>
          <w:sz w:val="20"/>
          <w:szCs w:val="20"/>
        </w:rPr>
        <w:t xml:space="preserve">Rasterizing the country-level </w:t>
      </w:r>
      <w:r w:rsidR="00D815D7">
        <w:rPr>
          <w:rFonts w:ascii="Times New Roman" w:hAnsi="Times New Roman"/>
          <w:b/>
          <w:i/>
          <w:sz w:val="20"/>
          <w:szCs w:val="20"/>
        </w:rPr>
        <w:t>and subnational</w:t>
      </w:r>
      <w:r w:rsidR="00970B85">
        <w:rPr>
          <w:rFonts w:ascii="Times New Roman" w:hAnsi="Times New Roman"/>
          <w:b/>
          <w:i/>
          <w:sz w:val="20"/>
          <w:szCs w:val="20"/>
        </w:rPr>
        <w:t xml:space="preserve"> unit</w:t>
      </w:r>
      <w:r w:rsidR="00D815D7">
        <w:rPr>
          <w:rFonts w:ascii="Times New Roman" w:hAnsi="Times New Roman"/>
          <w:b/>
          <w:i/>
          <w:sz w:val="20"/>
          <w:szCs w:val="20"/>
        </w:rPr>
        <w:t xml:space="preserve"> </w:t>
      </w:r>
      <w:r w:rsidRPr="001057CB">
        <w:rPr>
          <w:rFonts w:ascii="Times New Roman" w:hAnsi="Times New Roman"/>
          <w:b/>
          <w:i/>
          <w:sz w:val="20"/>
          <w:szCs w:val="20"/>
        </w:rPr>
        <w:t>data.</w:t>
      </w:r>
      <w:r w:rsidRPr="001057CB">
        <w:rPr>
          <w:rFonts w:ascii="Times New Roman" w:hAnsi="Times New Roman"/>
          <w:sz w:val="20"/>
          <w:szCs w:val="20"/>
        </w:rPr>
        <w:t xml:space="preserve"> </w:t>
      </w:r>
      <w:r w:rsidR="00B961FE" w:rsidRPr="001057CB">
        <w:rPr>
          <w:rFonts w:ascii="Times New Roman" w:hAnsi="Times New Roman"/>
          <w:sz w:val="20"/>
          <w:szCs w:val="20"/>
        </w:rPr>
        <w:t>We used a shapefile in the public domain published by Natural Earth (www.naturalearthdata.com) of the political boundaries for each of 247 countries in the world compiled using data from the United Nations as well as the U.S. Central Intelligence Agency. We merged country-level data with this map and converted these data into a raster dataset of 0</w:t>
      </w:r>
      <w:r w:rsidR="006F4C10">
        <w:rPr>
          <w:rFonts w:ascii="Times New Roman" w:hAnsi="Times New Roman"/>
          <w:sz w:val="20"/>
          <w:szCs w:val="20"/>
        </w:rPr>
        <w:t>.</w:t>
      </w:r>
      <w:r w:rsidR="00B961FE" w:rsidRPr="001057CB">
        <w:rPr>
          <w:rFonts w:ascii="Times New Roman" w:hAnsi="Times New Roman"/>
          <w:sz w:val="20"/>
          <w:szCs w:val="20"/>
        </w:rPr>
        <w:t>1-degree resolution in order to combine it with the subnational-level data that we acquired in raster form. We also rasterized the maps representing flood risk (which were available as shapefiles of flood plains).</w:t>
      </w:r>
    </w:p>
    <w:p w14:paraId="61F7DB52" w14:textId="77777777" w:rsidR="005821C1" w:rsidRPr="001057CB" w:rsidRDefault="005821C1" w:rsidP="003159E3">
      <w:pPr>
        <w:spacing w:line="480" w:lineRule="auto"/>
        <w:rPr>
          <w:rFonts w:ascii="Times New Roman" w:hAnsi="Times New Roman"/>
          <w:b/>
          <w:i/>
          <w:sz w:val="20"/>
          <w:szCs w:val="20"/>
        </w:rPr>
      </w:pPr>
    </w:p>
    <w:p w14:paraId="55130A19" w14:textId="36CFE8FE" w:rsidR="005821C1" w:rsidRPr="001057CB" w:rsidRDefault="005821C1" w:rsidP="003159E3">
      <w:pPr>
        <w:spacing w:line="480" w:lineRule="auto"/>
        <w:rPr>
          <w:rFonts w:ascii="Times New Roman" w:hAnsi="Times New Roman"/>
          <w:sz w:val="20"/>
          <w:szCs w:val="20"/>
        </w:rPr>
      </w:pPr>
      <w:r w:rsidRPr="001057CB">
        <w:rPr>
          <w:rFonts w:ascii="Times New Roman" w:hAnsi="Times New Roman"/>
          <w:b/>
          <w:i/>
          <w:sz w:val="20"/>
          <w:szCs w:val="20"/>
        </w:rPr>
        <w:t xml:space="preserve">Imputing </w:t>
      </w:r>
      <w:r w:rsidR="00AB1FB1" w:rsidRPr="001057CB">
        <w:rPr>
          <w:rFonts w:ascii="Times New Roman" w:hAnsi="Times New Roman"/>
          <w:b/>
          <w:i/>
          <w:sz w:val="20"/>
          <w:szCs w:val="20"/>
        </w:rPr>
        <w:t xml:space="preserve">spatial </w:t>
      </w:r>
      <w:r w:rsidRPr="001057CB">
        <w:rPr>
          <w:rFonts w:ascii="Times New Roman" w:hAnsi="Times New Roman"/>
          <w:b/>
          <w:i/>
          <w:sz w:val="20"/>
          <w:szCs w:val="20"/>
        </w:rPr>
        <w:t>data.</w:t>
      </w:r>
      <w:r w:rsidRPr="001057CB">
        <w:rPr>
          <w:rFonts w:ascii="Times New Roman" w:hAnsi="Times New Roman"/>
          <w:sz w:val="20"/>
          <w:szCs w:val="20"/>
        </w:rPr>
        <w:t xml:space="preserve"> We used nearest-neighbor interpolation to impute values for these indicators for each of the typhoid surveillance study sites. Time-variation was not taken into account when imputing </w:t>
      </w:r>
      <w:r w:rsidRPr="001057CB">
        <w:rPr>
          <w:rFonts w:ascii="Times New Roman" w:hAnsi="Times New Roman"/>
          <w:sz w:val="20"/>
          <w:szCs w:val="20"/>
        </w:rPr>
        <w:lastRenderedPageBreak/>
        <w:t>flood risk in each of the study sites, but we imputed the population density and GDP per capita according to the 5-year period closest to the year when the study took place.</w:t>
      </w:r>
    </w:p>
    <w:p w14:paraId="56773347" w14:textId="77777777" w:rsidR="005821C1" w:rsidRPr="001057CB" w:rsidRDefault="005821C1" w:rsidP="003159E3">
      <w:pPr>
        <w:spacing w:line="480" w:lineRule="auto"/>
        <w:rPr>
          <w:rFonts w:ascii="Times New Roman" w:hAnsi="Times New Roman"/>
          <w:sz w:val="20"/>
          <w:szCs w:val="20"/>
        </w:rPr>
      </w:pPr>
    </w:p>
    <w:p w14:paraId="35F70E99" w14:textId="72685B14" w:rsidR="005821C1" w:rsidRPr="001057CB" w:rsidRDefault="005821C1" w:rsidP="003159E3">
      <w:pPr>
        <w:spacing w:line="480" w:lineRule="auto"/>
        <w:rPr>
          <w:rFonts w:ascii="Times New Roman" w:hAnsi="Times New Roman"/>
          <w:sz w:val="20"/>
          <w:szCs w:val="20"/>
        </w:rPr>
      </w:pPr>
      <w:r w:rsidRPr="001057CB">
        <w:rPr>
          <w:rFonts w:ascii="Times New Roman" w:hAnsi="Times New Roman"/>
          <w:b/>
          <w:i/>
          <w:sz w:val="20"/>
          <w:szCs w:val="20"/>
        </w:rPr>
        <w:t>Prediction maps.</w:t>
      </w:r>
      <w:r w:rsidRPr="001057CB">
        <w:rPr>
          <w:rFonts w:ascii="Times New Roman" w:hAnsi="Times New Roman"/>
          <w:sz w:val="20"/>
          <w:szCs w:val="20"/>
        </w:rPr>
        <w:t xml:space="preserve"> Since our population density maps were of much higher resolution than the maps for GDP and flood risk, and population density and population counts in each cell could have a high impact on our final case counts, we downscaled our GDP and flood risk maps to a resolution of 0</w:t>
      </w:r>
      <w:r w:rsidR="00423F55">
        <w:rPr>
          <w:rFonts w:ascii="Times New Roman" w:hAnsi="Times New Roman"/>
          <w:sz w:val="20"/>
          <w:szCs w:val="20"/>
        </w:rPr>
        <w:t>.</w:t>
      </w:r>
      <w:r w:rsidRPr="001057CB">
        <w:rPr>
          <w:rFonts w:ascii="Times New Roman" w:hAnsi="Times New Roman"/>
          <w:sz w:val="20"/>
          <w:szCs w:val="20"/>
        </w:rPr>
        <w:t>1-degree via linear interpolation, and we up-scaled our population density maps to a resolution of 0</w:t>
      </w:r>
      <w:r w:rsidR="00423F55">
        <w:rPr>
          <w:rFonts w:ascii="Times New Roman" w:hAnsi="Times New Roman"/>
          <w:sz w:val="20"/>
          <w:szCs w:val="20"/>
        </w:rPr>
        <w:t>.</w:t>
      </w:r>
      <w:r w:rsidRPr="001057CB">
        <w:rPr>
          <w:rFonts w:ascii="Times New Roman" w:hAnsi="Times New Roman"/>
          <w:sz w:val="20"/>
          <w:szCs w:val="20"/>
        </w:rPr>
        <w:t xml:space="preserve">1 degree. The drawback of up-scaling the population density map was a slight loss of information, but we circumvented computational memory issues. </w:t>
      </w:r>
    </w:p>
    <w:p w14:paraId="7D8D4BA3" w14:textId="77777777" w:rsidR="00B961FE" w:rsidRPr="001057CB" w:rsidRDefault="00B961FE" w:rsidP="003159E3">
      <w:pPr>
        <w:spacing w:line="480" w:lineRule="auto"/>
        <w:rPr>
          <w:rFonts w:ascii="Times New Roman" w:hAnsi="Times New Roman"/>
          <w:sz w:val="20"/>
          <w:szCs w:val="20"/>
        </w:rPr>
      </w:pPr>
    </w:p>
    <w:p w14:paraId="3EAF3C85" w14:textId="456E6CBA" w:rsidR="00CF6F6B" w:rsidRPr="001057CB" w:rsidRDefault="00AB521F" w:rsidP="003159E3">
      <w:pPr>
        <w:pStyle w:val="Heading2"/>
        <w:spacing w:line="480" w:lineRule="auto"/>
        <w:rPr>
          <w:rFonts w:ascii="Times New Roman" w:hAnsi="Times New Roman"/>
          <w:b/>
          <w:i/>
          <w:color w:val="auto"/>
          <w:sz w:val="20"/>
          <w:szCs w:val="20"/>
        </w:rPr>
      </w:pPr>
      <w:r w:rsidRPr="001057CB">
        <w:rPr>
          <w:rFonts w:ascii="Times New Roman" w:hAnsi="Times New Roman"/>
          <w:b/>
          <w:i/>
          <w:color w:val="auto"/>
          <w:sz w:val="20"/>
          <w:szCs w:val="20"/>
        </w:rPr>
        <w:t>Predictors in the training da</w:t>
      </w:r>
      <w:r w:rsidR="00CF6F6B" w:rsidRPr="001057CB">
        <w:rPr>
          <w:rFonts w:ascii="Times New Roman" w:hAnsi="Times New Roman"/>
          <w:b/>
          <w:i/>
          <w:color w:val="auto"/>
          <w:sz w:val="20"/>
          <w:szCs w:val="20"/>
        </w:rPr>
        <w:t>taset vs</w:t>
      </w:r>
      <w:r w:rsidR="00331D73" w:rsidRPr="001057CB">
        <w:rPr>
          <w:rFonts w:ascii="Times New Roman" w:hAnsi="Times New Roman"/>
          <w:b/>
          <w:i/>
          <w:color w:val="auto"/>
          <w:sz w:val="20"/>
          <w:szCs w:val="20"/>
        </w:rPr>
        <w:t>.</w:t>
      </w:r>
      <w:r w:rsidR="00CF6F6B" w:rsidRPr="001057CB">
        <w:rPr>
          <w:rFonts w:ascii="Times New Roman" w:hAnsi="Times New Roman"/>
          <w:b/>
          <w:i/>
          <w:color w:val="auto"/>
          <w:sz w:val="20"/>
          <w:szCs w:val="20"/>
        </w:rPr>
        <w:t xml:space="preserve"> the prediction dataset</w:t>
      </w:r>
    </w:p>
    <w:p w14:paraId="02C6BC18" w14:textId="0EA74F17" w:rsidR="00AB521F" w:rsidRDefault="00AB521F" w:rsidP="003159E3">
      <w:pPr>
        <w:spacing w:line="480" w:lineRule="auto"/>
        <w:rPr>
          <w:rFonts w:ascii="Times New Roman" w:hAnsi="Times New Roman"/>
          <w:sz w:val="20"/>
          <w:szCs w:val="20"/>
        </w:rPr>
      </w:pPr>
      <w:r w:rsidRPr="001057CB">
        <w:rPr>
          <w:rFonts w:ascii="Times New Roman" w:hAnsi="Times New Roman"/>
          <w:sz w:val="20"/>
          <w:szCs w:val="20"/>
        </w:rPr>
        <w:t xml:space="preserve">We checked the range of the training set predictors in order to make sure that their distributions approximated the distributions of the covariates of the countries for which we wanted to provide predictions of typhoid incidence. A comparison of the predictor values used to fit the model and </w:t>
      </w:r>
      <w:r w:rsidR="005A1FA9" w:rsidRPr="001057CB">
        <w:rPr>
          <w:rFonts w:ascii="Times New Roman" w:hAnsi="Times New Roman"/>
          <w:sz w:val="20"/>
          <w:szCs w:val="20"/>
        </w:rPr>
        <w:t>those</w:t>
      </w:r>
      <w:r w:rsidRPr="001057CB">
        <w:rPr>
          <w:rFonts w:ascii="Times New Roman" w:hAnsi="Times New Roman"/>
          <w:sz w:val="20"/>
          <w:szCs w:val="20"/>
        </w:rPr>
        <w:t xml:space="preserve"> used to make posterior predictions is found </w:t>
      </w:r>
      <w:r w:rsidR="005A1FA9" w:rsidRPr="001057CB">
        <w:rPr>
          <w:rFonts w:ascii="Times New Roman" w:hAnsi="Times New Roman"/>
          <w:sz w:val="20"/>
          <w:szCs w:val="20"/>
        </w:rPr>
        <w:t xml:space="preserve">in </w:t>
      </w:r>
      <w:r w:rsidR="0070148F" w:rsidRPr="00B5615B">
        <w:rPr>
          <w:rFonts w:ascii="Times New Roman" w:hAnsi="Times New Roman"/>
          <w:sz w:val="20"/>
          <w:szCs w:val="20"/>
        </w:rPr>
        <w:t xml:space="preserve">Table </w:t>
      </w:r>
      <w:r w:rsidR="00786CC9" w:rsidRPr="00B5615B">
        <w:rPr>
          <w:rFonts w:ascii="Times New Roman" w:hAnsi="Times New Roman"/>
          <w:sz w:val="20"/>
          <w:szCs w:val="20"/>
        </w:rPr>
        <w:t>1</w:t>
      </w:r>
      <w:r w:rsidR="0070148F" w:rsidRPr="001057CB">
        <w:rPr>
          <w:rFonts w:ascii="Times New Roman" w:hAnsi="Times New Roman"/>
          <w:b/>
          <w:sz w:val="20"/>
          <w:szCs w:val="20"/>
        </w:rPr>
        <w:t xml:space="preserve"> </w:t>
      </w:r>
      <w:r w:rsidR="0070148F" w:rsidRPr="001057CB">
        <w:rPr>
          <w:rFonts w:ascii="Times New Roman" w:hAnsi="Times New Roman"/>
          <w:sz w:val="20"/>
          <w:szCs w:val="20"/>
        </w:rPr>
        <w:t>of the main text.</w:t>
      </w:r>
    </w:p>
    <w:p w14:paraId="3CCF9E6E" w14:textId="77777777" w:rsidR="00191051" w:rsidRPr="001057CB" w:rsidRDefault="00191051" w:rsidP="003159E3">
      <w:pPr>
        <w:spacing w:line="480" w:lineRule="auto"/>
        <w:rPr>
          <w:rFonts w:ascii="Times New Roman" w:hAnsi="Times New Roman"/>
          <w:sz w:val="20"/>
          <w:szCs w:val="20"/>
        </w:rPr>
      </w:pPr>
    </w:p>
    <w:p w14:paraId="1D2A8A7C" w14:textId="77777777" w:rsidR="00AB521F" w:rsidRPr="001057CB" w:rsidRDefault="00CF6F6B" w:rsidP="003159E3">
      <w:pPr>
        <w:pStyle w:val="Heading1"/>
        <w:spacing w:line="480" w:lineRule="auto"/>
        <w:rPr>
          <w:rFonts w:ascii="Times New Roman" w:hAnsi="Times New Roman"/>
          <w:b/>
          <w:color w:val="auto"/>
          <w:sz w:val="20"/>
          <w:szCs w:val="20"/>
        </w:rPr>
      </w:pPr>
      <w:r w:rsidRPr="001057CB">
        <w:rPr>
          <w:rFonts w:ascii="Times New Roman" w:hAnsi="Times New Roman"/>
          <w:b/>
          <w:color w:val="auto"/>
          <w:sz w:val="20"/>
          <w:szCs w:val="20"/>
        </w:rPr>
        <w:t>Model</w:t>
      </w:r>
    </w:p>
    <w:p w14:paraId="619B5B24" w14:textId="74AAE57B"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Our estimation model consists of two major components: one component models the latent disease process, and a second component models the observation process. We were therefore able to study and estimate the degree of variance between different contexts attributable to the underlying disease incidence</w:t>
      </w:r>
      <w:r w:rsidR="003D0C07" w:rsidRPr="001057CB">
        <w:rPr>
          <w:rFonts w:ascii="Times New Roman" w:hAnsi="Times New Roman"/>
          <w:sz w:val="20"/>
          <w:szCs w:val="20"/>
        </w:rPr>
        <w:t xml:space="preserve"> model</w:t>
      </w:r>
      <w:r w:rsidRPr="001057CB">
        <w:rPr>
          <w:rFonts w:ascii="Times New Roman" w:hAnsi="Times New Roman"/>
          <w:sz w:val="20"/>
          <w:szCs w:val="20"/>
        </w:rPr>
        <w:t xml:space="preserve"> </w:t>
      </w:r>
      <w:r w:rsidR="006C66A2" w:rsidRPr="001057CB">
        <w:rPr>
          <w:rFonts w:ascii="Times New Roman" w:hAnsi="Times New Roman"/>
          <w:sz w:val="20"/>
          <w:szCs w:val="20"/>
        </w:rPr>
        <w:t>as opposed to</w:t>
      </w:r>
      <w:r w:rsidRPr="001057CB">
        <w:rPr>
          <w:rFonts w:ascii="Times New Roman" w:hAnsi="Times New Roman"/>
          <w:sz w:val="20"/>
          <w:szCs w:val="20"/>
        </w:rPr>
        <w:t xml:space="preserve"> the ascertainment process of the data. </w:t>
      </w:r>
    </w:p>
    <w:p w14:paraId="200467C5" w14:textId="77777777" w:rsidR="00AB521F" w:rsidRPr="001057CB" w:rsidRDefault="00AB521F" w:rsidP="003159E3">
      <w:pPr>
        <w:spacing w:line="480" w:lineRule="auto"/>
        <w:rPr>
          <w:rFonts w:ascii="Times New Roman" w:hAnsi="Times New Roman"/>
          <w:sz w:val="20"/>
          <w:szCs w:val="20"/>
        </w:rPr>
      </w:pPr>
    </w:p>
    <w:p w14:paraId="640DB56C" w14:textId="77777777" w:rsidR="00AB521F" w:rsidRPr="001057CB" w:rsidRDefault="00AB521F" w:rsidP="003159E3">
      <w:pPr>
        <w:pStyle w:val="Heading2"/>
        <w:spacing w:line="480" w:lineRule="auto"/>
        <w:rPr>
          <w:rFonts w:ascii="Times New Roman" w:hAnsi="Times New Roman"/>
          <w:b/>
          <w:i/>
          <w:color w:val="auto"/>
          <w:sz w:val="20"/>
          <w:szCs w:val="20"/>
        </w:rPr>
      </w:pPr>
      <w:r w:rsidRPr="001057CB">
        <w:rPr>
          <w:rFonts w:ascii="Times New Roman" w:hAnsi="Times New Roman"/>
          <w:b/>
          <w:i/>
          <w:color w:val="auto"/>
          <w:sz w:val="20"/>
          <w:szCs w:val="20"/>
        </w:rPr>
        <w:t>Model of disease proce</w:t>
      </w:r>
      <w:r w:rsidR="00CF6F6B" w:rsidRPr="001057CB">
        <w:rPr>
          <w:rFonts w:ascii="Times New Roman" w:hAnsi="Times New Roman"/>
          <w:b/>
          <w:i/>
          <w:color w:val="auto"/>
          <w:sz w:val="20"/>
          <w:szCs w:val="20"/>
        </w:rPr>
        <w:t>ss</w:t>
      </w:r>
    </w:p>
    <w:p w14:paraId="05A26545" w14:textId="592C24F6" w:rsidR="003D0C07"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We employed a mixed effects model</w:t>
      </w:r>
      <w:r w:rsidR="003D0C07" w:rsidRPr="001057CB">
        <w:rPr>
          <w:rFonts w:ascii="Times New Roman" w:hAnsi="Times New Roman"/>
          <w:sz w:val="20"/>
          <w:szCs w:val="20"/>
        </w:rPr>
        <w:t>,</w:t>
      </w:r>
      <w:r w:rsidRPr="001057CB">
        <w:rPr>
          <w:rFonts w:ascii="Times New Roman" w:hAnsi="Times New Roman"/>
          <w:sz w:val="20"/>
          <w:szCs w:val="20"/>
        </w:rPr>
        <w:t xml:space="preserve"> where we test</w:t>
      </w:r>
      <w:r w:rsidR="003D0C07" w:rsidRPr="001057CB">
        <w:rPr>
          <w:rFonts w:ascii="Times New Roman" w:hAnsi="Times New Roman"/>
          <w:sz w:val="20"/>
          <w:szCs w:val="20"/>
        </w:rPr>
        <w:t>ed</w:t>
      </w:r>
      <w:r w:rsidRPr="001057CB">
        <w:rPr>
          <w:rFonts w:ascii="Times New Roman" w:hAnsi="Times New Roman"/>
          <w:sz w:val="20"/>
          <w:szCs w:val="20"/>
        </w:rPr>
        <w:t xml:space="preserve"> predictors for both the intercept (</w:t>
      </w:r>
      <w:r w:rsidR="0070148F" w:rsidRPr="009A5C08">
        <w:rPr>
          <w:rFonts w:ascii="Times New Roman" w:hAnsi="Times New Roman"/>
          <w:b/>
          <w:i/>
          <w:sz w:val="20"/>
          <w:szCs w:val="20"/>
        </w:rPr>
        <w:t>B</w:t>
      </w:r>
      <w:r w:rsidR="0070148F" w:rsidRPr="009A5C08">
        <w:rPr>
          <w:rFonts w:ascii="Times New Roman" w:hAnsi="Times New Roman"/>
          <w:b/>
          <w:i/>
          <w:sz w:val="20"/>
          <w:szCs w:val="20"/>
          <w:vertAlign w:val="subscript"/>
        </w:rPr>
        <w:t>0,j</w:t>
      </w:r>
      <w:r w:rsidR="0070148F" w:rsidRPr="001057CB">
        <w:rPr>
          <w:rFonts w:ascii="Times New Roman" w:hAnsi="Times New Roman"/>
          <w:sz w:val="20"/>
          <w:szCs w:val="20"/>
        </w:rPr>
        <w:t>,</w:t>
      </w:r>
      <w:r w:rsidR="0070148F" w:rsidRPr="001057CB">
        <w:rPr>
          <w:rFonts w:ascii="Times New Roman" w:hAnsi="Times New Roman"/>
          <w:i/>
          <w:sz w:val="20"/>
          <w:szCs w:val="20"/>
        </w:rPr>
        <w:t xml:space="preserve"> </w:t>
      </w:r>
      <w:r w:rsidRPr="001057CB">
        <w:rPr>
          <w:rFonts w:ascii="Times New Roman" w:hAnsi="Times New Roman"/>
          <w:sz w:val="20"/>
          <w:szCs w:val="20"/>
        </w:rPr>
        <w:t xml:space="preserve">which estimates incidence for our referent age group, </w:t>
      </w:r>
      <w:r w:rsidR="003D0C07" w:rsidRPr="001057CB">
        <w:rPr>
          <w:rFonts w:ascii="Times New Roman" w:hAnsi="Times New Roman"/>
          <w:sz w:val="20"/>
          <w:szCs w:val="20"/>
        </w:rPr>
        <w:t xml:space="preserve">school-aged </w:t>
      </w:r>
      <w:r w:rsidRPr="001057CB">
        <w:rPr>
          <w:rFonts w:ascii="Times New Roman" w:hAnsi="Times New Roman"/>
          <w:sz w:val="20"/>
          <w:szCs w:val="20"/>
        </w:rPr>
        <w:t xml:space="preserve">children </w:t>
      </w:r>
      <w:r w:rsidR="009A5C08">
        <w:rPr>
          <w:rFonts w:ascii="Times New Roman" w:hAnsi="Times New Roman"/>
          <w:sz w:val="20"/>
          <w:szCs w:val="20"/>
        </w:rPr>
        <w:t>5-14</w:t>
      </w:r>
      <w:r w:rsidR="003D0C07" w:rsidRPr="001057CB">
        <w:rPr>
          <w:rFonts w:ascii="Times New Roman" w:hAnsi="Times New Roman"/>
          <w:sz w:val="20"/>
          <w:szCs w:val="20"/>
        </w:rPr>
        <w:t xml:space="preserve"> years old</w:t>
      </w:r>
      <w:r w:rsidR="0070148F" w:rsidRPr="001057CB">
        <w:rPr>
          <w:rFonts w:ascii="Times New Roman" w:hAnsi="Times New Roman"/>
          <w:sz w:val="20"/>
          <w:szCs w:val="20"/>
        </w:rPr>
        <w:t xml:space="preserve"> in location </w:t>
      </w:r>
      <w:r w:rsidR="0070148F" w:rsidRPr="0095479E">
        <w:rPr>
          <w:rFonts w:ascii="Times New Roman" w:hAnsi="Times New Roman"/>
          <w:b/>
          <w:i/>
          <w:sz w:val="20"/>
          <w:szCs w:val="20"/>
        </w:rPr>
        <w:t>j</w:t>
      </w:r>
      <w:r w:rsidRPr="001057CB">
        <w:rPr>
          <w:rFonts w:ascii="Times New Roman" w:hAnsi="Times New Roman"/>
          <w:sz w:val="20"/>
          <w:szCs w:val="20"/>
        </w:rPr>
        <w:t>) and for the slope (</w:t>
      </w:r>
      <w:r w:rsidR="0070148F" w:rsidRPr="0095479E">
        <w:rPr>
          <w:rFonts w:ascii="Times New Roman" w:hAnsi="Times New Roman"/>
          <w:b/>
          <w:i/>
          <w:sz w:val="20"/>
          <w:szCs w:val="20"/>
        </w:rPr>
        <w:t>B</w:t>
      </w:r>
      <w:r w:rsidR="0070148F" w:rsidRPr="0095479E">
        <w:rPr>
          <w:rFonts w:ascii="Times New Roman" w:hAnsi="Times New Roman"/>
          <w:b/>
          <w:i/>
          <w:sz w:val="20"/>
          <w:szCs w:val="20"/>
          <w:vertAlign w:val="subscript"/>
        </w:rPr>
        <w:t>a</w:t>
      </w:r>
      <w:r w:rsidR="0070148F" w:rsidRPr="0095479E">
        <w:rPr>
          <w:rFonts w:ascii="Times New Roman" w:hAnsi="Times New Roman"/>
          <w:b/>
          <w:sz w:val="20"/>
          <w:szCs w:val="20"/>
          <w:vertAlign w:val="subscript"/>
        </w:rPr>
        <w:t>,</w:t>
      </w:r>
      <w:r w:rsidR="0070148F" w:rsidRPr="0095479E">
        <w:rPr>
          <w:rFonts w:ascii="Times New Roman" w:hAnsi="Times New Roman"/>
          <w:b/>
          <w:i/>
          <w:sz w:val="20"/>
          <w:szCs w:val="20"/>
          <w:vertAlign w:val="subscript"/>
        </w:rPr>
        <w:t>j</w:t>
      </w:r>
      <w:r w:rsidR="0070148F" w:rsidRPr="001057CB">
        <w:rPr>
          <w:rFonts w:ascii="Times New Roman" w:hAnsi="Times New Roman"/>
          <w:sz w:val="20"/>
          <w:szCs w:val="20"/>
        </w:rPr>
        <w:t xml:space="preserve"> </w:t>
      </w:r>
      <w:r w:rsidRPr="001057CB">
        <w:rPr>
          <w:rFonts w:ascii="Times New Roman" w:hAnsi="Times New Roman"/>
          <w:sz w:val="20"/>
          <w:szCs w:val="20"/>
        </w:rPr>
        <w:t>which estimates the incidence rate ratio between the referent age group and the other age groups of interest</w:t>
      </w:r>
      <w:r w:rsidR="0070148F" w:rsidRPr="001057CB">
        <w:rPr>
          <w:rFonts w:ascii="Times New Roman" w:hAnsi="Times New Roman"/>
          <w:sz w:val="20"/>
          <w:szCs w:val="20"/>
        </w:rPr>
        <w:t xml:space="preserve"> </w:t>
      </w:r>
      <w:r w:rsidR="0070148F" w:rsidRPr="001057CB">
        <w:rPr>
          <w:rFonts w:ascii="Times New Roman" w:hAnsi="Times New Roman"/>
          <w:i/>
          <w:sz w:val="20"/>
          <w:szCs w:val="20"/>
        </w:rPr>
        <w:t>a</w:t>
      </w:r>
      <w:r w:rsidRPr="001057CB">
        <w:rPr>
          <w:rFonts w:ascii="Times New Roman" w:hAnsi="Times New Roman"/>
          <w:sz w:val="20"/>
          <w:szCs w:val="20"/>
        </w:rPr>
        <w:t xml:space="preserve">, </w:t>
      </w:r>
      <w:r w:rsidR="0070148F" w:rsidRPr="001057CB">
        <w:rPr>
          <w:rFonts w:ascii="Times New Roman" w:hAnsi="Times New Roman"/>
          <w:sz w:val="20"/>
          <w:szCs w:val="20"/>
        </w:rPr>
        <w:t xml:space="preserve">including </w:t>
      </w:r>
      <w:r w:rsidR="003D0C07" w:rsidRPr="001057CB">
        <w:rPr>
          <w:rFonts w:ascii="Times New Roman" w:hAnsi="Times New Roman"/>
          <w:sz w:val="20"/>
          <w:szCs w:val="20"/>
        </w:rPr>
        <w:t xml:space="preserve">children </w:t>
      </w:r>
      <w:r w:rsidR="00C32F93">
        <w:rPr>
          <w:rFonts w:ascii="Times New Roman" w:hAnsi="Times New Roman"/>
          <w:sz w:val="20"/>
          <w:szCs w:val="20"/>
        </w:rPr>
        <w:t>&lt;5</w:t>
      </w:r>
      <w:r w:rsidR="003D0C07" w:rsidRPr="001057CB">
        <w:rPr>
          <w:rFonts w:ascii="Times New Roman" w:hAnsi="Times New Roman"/>
          <w:sz w:val="20"/>
          <w:szCs w:val="20"/>
        </w:rPr>
        <w:t xml:space="preserve"> years of age and</w:t>
      </w:r>
      <w:r w:rsidRPr="001057CB">
        <w:rPr>
          <w:rFonts w:ascii="Times New Roman" w:hAnsi="Times New Roman"/>
          <w:sz w:val="20"/>
          <w:szCs w:val="20"/>
        </w:rPr>
        <w:t xml:space="preserve"> adults</w:t>
      </w:r>
      <w:r w:rsidR="00251763">
        <w:rPr>
          <w:rFonts w:ascii="Times New Roman" w:hAnsi="Times New Roman"/>
          <w:sz w:val="20"/>
          <w:szCs w:val="20"/>
        </w:rPr>
        <w:t xml:space="preserve"> in location </w:t>
      </w:r>
      <w:r w:rsidR="00251763">
        <w:rPr>
          <w:rFonts w:ascii="Times New Roman" w:hAnsi="Times New Roman"/>
          <w:i/>
          <w:sz w:val="20"/>
          <w:szCs w:val="20"/>
        </w:rPr>
        <w:t>j</w:t>
      </w:r>
      <w:r w:rsidRPr="001057CB">
        <w:rPr>
          <w:rFonts w:ascii="Times New Roman" w:hAnsi="Times New Roman"/>
          <w:sz w:val="20"/>
          <w:szCs w:val="20"/>
        </w:rPr>
        <w:t xml:space="preserve">). In the null model, we have one </w:t>
      </w:r>
      <w:r w:rsidRPr="001057CB">
        <w:rPr>
          <w:rFonts w:ascii="Times New Roman" w:hAnsi="Times New Roman"/>
          <w:sz w:val="20"/>
          <w:szCs w:val="20"/>
        </w:rPr>
        <w:lastRenderedPageBreak/>
        <w:t xml:space="preserve">fixed effect </w:t>
      </w:r>
      <w:r w:rsidR="00C5622E" w:rsidRPr="001057CB">
        <w:rPr>
          <w:rFonts w:ascii="Times New Roman" w:hAnsi="Times New Roman"/>
          <w:sz w:val="20"/>
          <w:szCs w:val="20"/>
        </w:rPr>
        <w:t>(</w:t>
      </w:r>
      <m:oMath>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0</m:t>
            </m:r>
          </m:sub>
        </m:sSub>
        <m:r>
          <m:rPr>
            <m:sty m:val="bi"/>
          </m:rPr>
          <w:rPr>
            <w:rFonts w:ascii="Cambria Math" w:hAnsi="Cambria Math"/>
            <w:sz w:val="20"/>
            <w:szCs w:val="20"/>
          </w:rPr>
          <m:t xml:space="preserve"> </m:t>
        </m:r>
      </m:oMath>
      <w:r w:rsidRPr="001057CB">
        <w:rPr>
          <w:rFonts w:ascii="Times New Roman" w:hAnsi="Times New Roman"/>
          <w:sz w:val="20"/>
          <w:szCs w:val="20"/>
        </w:rPr>
        <w:t xml:space="preserve">and </w:t>
      </w:r>
      <m:oMath>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a</m:t>
            </m:r>
          </m:sub>
        </m:sSub>
      </m:oMath>
      <w:r w:rsidRPr="001057CB">
        <w:rPr>
          <w:rFonts w:ascii="Times New Roman" w:hAnsi="Times New Roman"/>
          <w:sz w:val="20"/>
          <w:szCs w:val="20"/>
        </w:rPr>
        <w:t xml:space="preserve">) for each of the age groups, and a </w:t>
      </w:r>
      <w:r w:rsidR="00776EE9" w:rsidRPr="001057CB">
        <w:rPr>
          <w:rFonts w:ascii="Times New Roman" w:hAnsi="Times New Roman"/>
          <w:sz w:val="20"/>
          <w:szCs w:val="20"/>
        </w:rPr>
        <w:t>location-specific</w:t>
      </w:r>
      <w:r w:rsidRPr="001057CB">
        <w:rPr>
          <w:rFonts w:ascii="Times New Roman" w:hAnsi="Times New Roman"/>
          <w:sz w:val="20"/>
          <w:szCs w:val="20"/>
        </w:rPr>
        <w:t xml:space="preserve"> random effect for the intercept, </w:t>
      </w:r>
      <m:oMath>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j</m:t>
            </m:r>
          </m:sub>
        </m:sSub>
      </m:oMath>
      <w:r w:rsidRPr="001057CB">
        <w:rPr>
          <w:rFonts w:ascii="Times New Roman" w:hAnsi="Times New Roman"/>
          <w:sz w:val="20"/>
          <w:szCs w:val="20"/>
        </w:rPr>
        <w:t xml:space="preserve">, which allows us to adjust for the correlation between repeat studies within the same country. Alternative models were tested as well to assess whether region-level random effects could explain the variation. </w:t>
      </w:r>
    </w:p>
    <w:p w14:paraId="0A1454EA" w14:textId="77777777" w:rsidR="003D0C07" w:rsidRPr="001057CB" w:rsidRDefault="003D0C07" w:rsidP="003159E3">
      <w:pPr>
        <w:spacing w:line="480" w:lineRule="auto"/>
        <w:rPr>
          <w:rFonts w:ascii="Times New Roman" w:hAnsi="Times New Roman"/>
          <w:sz w:val="20"/>
          <w:szCs w:val="20"/>
        </w:rPr>
      </w:pPr>
    </w:p>
    <w:p w14:paraId="01AB6F26" w14:textId="507145AD"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We performed a stochastic search variable selection method in order to test whether additional fixed effects</w:t>
      </w:r>
      <w:r w:rsidR="003D0C07" w:rsidRPr="001057CB">
        <w:rPr>
          <w:rFonts w:ascii="Times New Roman" w:hAnsi="Times New Roman"/>
          <w:sz w:val="20"/>
          <w:szCs w:val="20"/>
        </w:rPr>
        <w:t xml:space="preserve"> corresponding to our set of possible predictors, </w:t>
      </w:r>
      <w:r w:rsidR="003D0C07" w:rsidRPr="0095479E">
        <w:rPr>
          <w:rFonts w:ascii="Times New Roman" w:hAnsi="Times New Roman"/>
          <w:b/>
          <w:i/>
          <w:sz w:val="20"/>
          <w:szCs w:val="20"/>
        </w:rPr>
        <w:t>X</w:t>
      </w:r>
      <w:r w:rsidR="003D0C07" w:rsidRPr="0095479E">
        <w:rPr>
          <w:rFonts w:ascii="Times New Roman" w:hAnsi="Times New Roman"/>
          <w:b/>
          <w:i/>
          <w:sz w:val="20"/>
          <w:szCs w:val="20"/>
          <w:vertAlign w:val="subscript"/>
        </w:rPr>
        <w:t>j</w:t>
      </w:r>
      <w:r w:rsidR="003D0C07" w:rsidRPr="001057CB">
        <w:rPr>
          <w:rFonts w:ascii="Times New Roman" w:hAnsi="Times New Roman"/>
          <w:sz w:val="20"/>
          <w:szCs w:val="20"/>
        </w:rPr>
        <w:t>, multiplied by coefficients for the effect sizes corresponding to each predictor (</w:t>
      </w:r>
      <w:r w:rsidR="003D0C07" w:rsidRPr="0095479E">
        <w:rPr>
          <w:rFonts w:ascii="Times New Roman" w:hAnsi="Times New Roman"/>
          <w:b/>
          <w:i/>
          <w:sz w:val="20"/>
          <w:szCs w:val="20"/>
        </w:rPr>
        <w:sym w:font="Symbol" w:char="F067"/>
      </w:r>
      <w:r w:rsidR="003D0C07" w:rsidRPr="0095479E">
        <w:rPr>
          <w:rFonts w:ascii="Times New Roman" w:hAnsi="Times New Roman"/>
          <w:b/>
          <w:sz w:val="20"/>
          <w:szCs w:val="20"/>
        </w:rPr>
        <w:t xml:space="preserve"> </w:t>
      </w:r>
      <w:r w:rsidR="003D0C07" w:rsidRPr="001057CB">
        <w:rPr>
          <w:rFonts w:ascii="Times New Roman" w:hAnsi="Times New Roman"/>
          <w:sz w:val="20"/>
          <w:szCs w:val="20"/>
        </w:rPr>
        <w:t xml:space="preserve">and </w:t>
      </w:r>
      <w:r w:rsidR="003D0C07" w:rsidRPr="0095479E">
        <w:rPr>
          <w:rFonts w:ascii="Times New Roman" w:hAnsi="Times New Roman"/>
          <w:b/>
          <w:i/>
          <w:sz w:val="20"/>
          <w:szCs w:val="20"/>
        </w:rPr>
        <w:sym w:font="Symbol" w:char="F068"/>
      </w:r>
      <w:r w:rsidR="003D0C07" w:rsidRPr="0095479E">
        <w:rPr>
          <w:rFonts w:ascii="Times New Roman" w:hAnsi="Times New Roman"/>
          <w:b/>
          <w:i/>
          <w:sz w:val="20"/>
          <w:szCs w:val="20"/>
          <w:vertAlign w:val="subscript"/>
        </w:rPr>
        <w:t>a</w:t>
      </w:r>
      <w:r w:rsidR="003D0C07" w:rsidRPr="001057CB">
        <w:rPr>
          <w:rFonts w:ascii="Times New Roman" w:hAnsi="Times New Roman"/>
          <w:sz w:val="20"/>
          <w:szCs w:val="20"/>
        </w:rPr>
        <w:t xml:space="preserve"> for the intercept and slope models, respectively)</w:t>
      </w:r>
      <w:r w:rsidRPr="001057CB">
        <w:rPr>
          <w:rFonts w:ascii="Times New Roman" w:hAnsi="Times New Roman"/>
          <w:sz w:val="20"/>
          <w:szCs w:val="20"/>
        </w:rPr>
        <w:t xml:space="preserve"> could help explain trends in the typhoid burden data.</w:t>
      </w:r>
      <w:r w:rsidR="00E753C3" w:rsidRPr="001057CB">
        <w:rPr>
          <w:rFonts w:ascii="Times New Roman" w:hAnsi="Times New Roman"/>
          <w:sz w:val="20"/>
          <w:szCs w:val="20"/>
        </w:rPr>
        <w:t xml:space="preserve"> </w:t>
      </w:r>
    </w:p>
    <w:p w14:paraId="28D3B6EF" w14:textId="77777777" w:rsidR="00AB521F" w:rsidRPr="001057CB" w:rsidRDefault="00AB521F" w:rsidP="003159E3">
      <w:pPr>
        <w:spacing w:line="480" w:lineRule="auto"/>
        <w:rPr>
          <w:rFonts w:ascii="Times New Roman" w:hAnsi="Times New Roman"/>
          <w:sz w:val="20"/>
          <w:szCs w:val="20"/>
        </w:rPr>
      </w:pPr>
    </w:p>
    <w:p w14:paraId="173988D1" w14:textId="0C1D8F96" w:rsidR="00AE31A0" w:rsidRPr="0095479E" w:rsidRDefault="00916BD1" w:rsidP="003159E3">
      <w:pPr>
        <w:spacing w:line="480" w:lineRule="auto"/>
        <w:jc w:val="center"/>
        <w:rPr>
          <w:rFonts w:ascii="Times New Roman" w:hAnsi="Times New Roman"/>
          <w:b/>
          <w:sz w:val="20"/>
          <w:szCs w:val="20"/>
        </w:rPr>
      </w:pPr>
      <m:oMathPara>
        <m:oMathParaPr>
          <m:jc m:val="center"/>
        </m:oMathParaPr>
        <m:oMath>
          <m:sSub>
            <m:sSubPr>
              <m:ctrlPr>
                <w:rPr>
                  <w:rFonts w:ascii="Cambria Math" w:hAnsi="Cambria Math"/>
                  <w:b/>
                  <w:i/>
                  <w:sz w:val="20"/>
                  <w:szCs w:val="20"/>
                </w:rPr>
              </m:ctrlPr>
            </m:sSubPr>
            <m:e>
              <m:r>
                <m:rPr>
                  <m:nor/>
                </m:rPr>
                <w:rPr>
                  <w:rFonts w:ascii="Times New Roman" w:hAnsi="Times New Roman"/>
                  <w:b/>
                  <w:sz w:val="20"/>
                  <w:szCs w:val="20"/>
                </w:rPr>
                <m:t>Actual Cases</m:t>
              </m:r>
            </m:e>
            <m:sub>
              <m:r>
                <m:rPr>
                  <m:sty m:val="bi"/>
                </m:rPr>
                <w:rPr>
                  <w:rFonts w:ascii="Cambria Math" w:hAnsi="Cambria Math"/>
                  <w:sz w:val="20"/>
                  <w:szCs w:val="20"/>
                </w:rPr>
                <m:t>a,j</m:t>
              </m:r>
            </m:sub>
          </m:sSub>
          <m:r>
            <m:rPr>
              <m:sty m:val="bi"/>
            </m:rPr>
            <w:rPr>
              <w:rFonts w:ascii="Cambria Math" w:hAnsi="Cambria Math"/>
              <w:sz w:val="20"/>
              <w:szCs w:val="20"/>
            </w:rPr>
            <m:t>∼</m:t>
          </m:r>
          <m:r>
            <m:rPr>
              <m:nor/>
            </m:rPr>
            <w:rPr>
              <w:rFonts w:ascii="Times New Roman" w:hAnsi="Times New Roman"/>
              <w:b/>
              <w:sz w:val="20"/>
              <w:szCs w:val="20"/>
            </w:rPr>
            <m:t>Poisson</m:t>
          </m:r>
          <m:d>
            <m:dPr>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λ</m:t>
                  </m:r>
                </m:e>
                <m:sub>
                  <m:r>
                    <m:rPr>
                      <m:sty m:val="bi"/>
                    </m:rPr>
                    <w:rPr>
                      <w:rFonts w:ascii="Cambria Math" w:hAnsi="Cambria Math"/>
                      <w:sz w:val="20"/>
                      <w:szCs w:val="20"/>
                    </w:rPr>
                    <m:t>a,j</m:t>
                  </m:r>
                </m:sub>
              </m:sSub>
            </m:e>
            <m:e>
              <m:sSub>
                <m:sSubPr>
                  <m:ctrlPr>
                    <w:rPr>
                      <w:rFonts w:ascii="Cambria Math" w:hAnsi="Cambria Math"/>
                      <w:b/>
                      <w:i/>
                      <w:sz w:val="20"/>
                      <w:szCs w:val="20"/>
                    </w:rPr>
                  </m:ctrlPr>
                </m:sSubPr>
                <m:e>
                  <m:r>
                    <m:rPr>
                      <m:nor/>
                    </m:rPr>
                    <w:rPr>
                      <w:rFonts w:ascii="Times New Roman" w:hAnsi="Times New Roman"/>
                      <w:b/>
                      <w:sz w:val="20"/>
                      <w:szCs w:val="20"/>
                    </w:rPr>
                    <m:t>person-years</m:t>
                  </m:r>
                </m:e>
                <m:sub>
                  <m:r>
                    <m:rPr>
                      <m:sty m:val="bi"/>
                    </m:rPr>
                    <w:rPr>
                      <w:rFonts w:ascii="Cambria Math" w:hAnsi="Cambria Math"/>
                      <w:sz w:val="20"/>
                      <w:szCs w:val="20"/>
                    </w:rPr>
                    <m:t>a,j</m:t>
                  </m:r>
                </m:sub>
              </m:sSub>
            </m:e>
          </m:d>
          <m:r>
            <m:rPr>
              <m:sty m:val="p"/>
            </m:rPr>
            <w:rPr>
              <w:rFonts w:ascii="Cambria Math" w:hAnsi="Cambria Math"/>
              <w:sz w:val="20"/>
              <w:szCs w:val="20"/>
            </w:rPr>
            <w:br/>
          </m:r>
        </m:oMath>
        <m:oMath>
          <m:func>
            <m:funcPr>
              <m:ctrlPr>
                <w:rPr>
                  <w:rFonts w:ascii="Cambria Math" w:hAnsi="Cambria Math"/>
                  <w:b/>
                  <w:i/>
                  <w:sz w:val="20"/>
                  <w:szCs w:val="20"/>
                </w:rPr>
              </m:ctrlPr>
            </m:funcPr>
            <m:fName>
              <m:r>
                <m:rPr>
                  <m:sty m:val="b"/>
                </m:rPr>
                <w:rPr>
                  <w:rFonts w:ascii="Cambria Math" w:hAnsi="Cambria Math"/>
                  <w:sz w:val="20"/>
                  <w:szCs w:val="20"/>
                </w:rPr>
                <m:t>log</m:t>
              </m:r>
            </m:fName>
            <m:e>
              <m:d>
                <m:dPr>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λ</m:t>
                      </m:r>
                    </m:e>
                    <m:sub>
                      <m:r>
                        <m:rPr>
                          <m:sty m:val="bi"/>
                        </m:rPr>
                        <w:rPr>
                          <w:rFonts w:ascii="Cambria Math" w:hAnsi="Cambria Math"/>
                          <w:sz w:val="20"/>
                          <w:szCs w:val="20"/>
                        </w:rPr>
                        <m:t>a,j</m:t>
                      </m:r>
                    </m:sub>
                  </m:sSub>
                </m:e>
              </m:d>
            </m:e>
          </m:func>
          <m:sSub>
            <m:sSubPr>
              <m:ctrlPr>
                <w:rPr>
                  <w:rFonts w:ascii="Cambria Math" w:hAnsi="Cambria Math"/>
                  <w:b/>
                  <w:i/>
                  <w:sz w:val="20"/>
                  <w:szCs w:val="20"/>
                </w:rPr>
              </m:ctrlPr>
            </m:sSubPr>
            <m:e>
              <m:r>
                <m:rPr>
                  <m:nor/>
                </m:rPr>
                <w:rPr>
                  <w:rFonts w:ascii="Times New Roman" w:hAnsi="Times New Roman"/>
                  <w:b/>
                  <w:sz w:val="20"/>
                  <w:szCs w:val="20"/>
                </w:rPr>
                <m:t>person-years</m:t>
              </m:r>
            </m:e>
            <m:sub>
              <m:r>
                <m:rPr>
                  <m:sty m:val="bi"/>
                </m:rPr>
                <w:rPr>
                  <w:rFonts w:ascii="Cambria Math" w:hAnsi="Cambria Math"/>
                  <w:sz w:val="20"/>
                  <w:szCs w:val="20"/>
                </w:rPr>
                <m:t>a,j</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0,j</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a,j</m:t>
              </m:r>
            </m:sub>
          </m:sSub>
          <m:r>
            <m:rPr>
              <m:sty m:val="bi"/>
            </m:rPr>
            <w:rPr>
              <w:rFonts w:ascii="Cambria Math" w:hAnsi="Cambria Math"/>
              <w:sz w:val="20"/>
              <w:szCs w:val="20"/>
            </w:rPr>
            <m:t xml:space="preserve">+ </m:t>
          </m:r>
          <m:r>
            <m:rPr>
              <m:nor/>
            </m:rPr>
            <w:rPr>
              <w:rFonts w:ascii="Times New Roman" w:hAnsi="Times New Roman"/>
              <w:b/>
              <w:sz w:val="20"/>
              <w:szCs w:val="20"/>
            </w:rPr>
            <m:t>log(</m:t>
          </m:r>
          <m:sSub>
            <m:sSubPr>
              <m:ctrlPr>
                <w:rPr>
                  <w:rFonts w:ascii="Cambria Math" w:hAnsi="Cambria Math"/>
                  <w:b/>
                  <w:i/>
                  <w:sz w:val="20"/>
                  <w:szCs w:val="20"/>
                </w:rPr>
              </m:ctrlPr>
            </m:sSubPr>
            <m:e>
              <m:r>
                <m:rPr>
                  <m:nor/>
                </m:rPr>
                <w:rPr>
                  <w:rFonts w:ascii="Times New Roman" w:hAnsi="Times New Roman"/>
                  <w:b/>
                  <w:sz w:val="20"/>
                  <w:szCs w:val="20"/>
                </w:rPr>
                <m:t>person-years</m:t>
              </m:r>
            </m:e>
            <m:sub>
              <m:r>
                <m:rPr>
                  <m:sty m:val="bi"/>
                </m:rPr>
                <w:rPr>
                  <w:rFonts w:ascii="Cambria Math" w:hAnsi="Cambria Math"/>
                  <w:sz w:val="20"/>
                  <w:szCs w:val="20"/>
                </w:rPr>
                <m:t>a,j</m:t>
              </m:r>
            </m:sub>
          </m:sSub>
          <m:r>
            <m:rPr>
              <m:sty m:val="bi"/>
            </m:rPr>
            <w:rPr>
              <w:rFonts w:ascii="Cambria Math" w:hAnsi="Cambria Math"/>
              <w:sz w:val="20"/>
              <w:szCs w:val="20"/>
            </w:rPr>
            <m:t>)</m:t>
          </m:r>
          <m:r>
            <m:rPr>
              <m:sty m:val="p"/>
            </m:rPr>
            <w:rPr>
              <w:rFonts w:ascii="Cambria Math" w:hAnsi="Cambria Math"/>
              <w:sz w:val="20"/>
              <w:szCs w:val="20"/>
            </w:rPr>
            <w:br/>
          </m:r>
        </m:oMath>
        <m:oMath>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0,j</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0</m:t>
              </m:r>
            </m:sub>
          </m:sSub>
          <m:r>
            <m:rPr>
              <m:sty m:val="bi"/>
            </m:rPr>
            <w:rPr>
              <w:rFonts w:ascii="Cambria Math" w:hAnsi="Cambria Math"/>
              <w:sz w:val="20"/>
              <w:szCs w:val="20"/>
            </w:rPr>
            <m:t>+γ</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j</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0,j</m:t>
              </m:r>
            </m:sub>
          </m:sSub>
          <m:r>
            <m:rPr>
              <m:sty m:val="p"/>
            </m:rPr>
            <w:rPr>
              <w:rFonts w:ascii="Cambria Math" w:hAnsi="Cambria Math"/>
              <w:sz w:val="20"/>
              <w:szCs w:val="20"/>
            </w:rPr>
            <w:br/>
          </m:r>
        </m:oMath>
        <m:oMath>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a,j</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a</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η</m:t>
              </m:r>
            </m:e>
            <m:sub>
              <m:r>
                <m:rPr>
                  <m:sty m:val="bi"/>
                </m:rPr>
                <w:rPr>
                  <w:rFonts w:ascii="Cambria Math" w:hAnsi="Cambria Math"/>
                  <w:sz w:val="20"/>
                  <w:szCs w:val="20"/>
                </w:rPr>
                <m:t>a</m:t>
              </m:r>
            </m:sub>
          </m:sSub>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j</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a,j</m:t>
              </m:r>
            </m:sub>
          </m:sSub>
        </m:oMath>
      </m:oMathPara>
    </w:p>
    <w:p w14:paraId="3209C778" w14:textId="77777777" w:rsidR="00AE31A0" w:rsidRPr="001057CB" w:rsidRDefault="00AE31A0" w:rsidP="003159E3">
      <w:pPr>
        <w:spacing w:line="480" w:lineRule="auto"/>
        <w:rPr>
          <w:rFonts w:ascii="Times New Roman" w:hAnsi="Times New Roman"/>
          <w:sz w:val="20"/>
          <w:szCs w:val="20"/>
        </w:rPr>
      </w:pPr>
    </w:p>
    <w:p w14:paraId="5CD61E97" w14:textId="73FE1F3F" w:rsidR="00480448" w:rsidRPr="001057CB" w:rsidRDefault="00191051" w:rsidP="003159E3">
      <w:pPr>
        <w:spacing w:line="480" w:lineRule="auto"/>
        <w:rPr>
          <w:rFonts w:ascii="Times New Roman" w:hAnsi="Times New Roman"/>
          <w:sz w:val="20"/>
          <w:szCs w:val="20"/>
        </w:rPr>
      </w:pPr>
      <w:r>
        <w:rPr>
          <w:rFonts w:ascii="Times New Roman" w:hAnsi="Times New Roman"/>
          <w:sz w:val="20"/>
          <w:szCs w:val="20"/>
        </w:rPr>
        <w:t>w</w:t>
      </w:r>
      <w:r w:rsidRPr="001057CB">
        <w:rPr>
          <w:rFonts w:ascii="Times New Roman" w:hAnsi="Times New Roman"/>
          <w:sz w:val="20"/>
          <w:szCs w:val="20"/>
        </w:rPr>
        <w:t xml:space="preserve">here </w:t>
      </w:r>
      <w:r w:rsidR="00E753C3" w:rsidRPr="0095479E">
        <w:rPr>
          <w:rFonts w:ascii="Times New Roman" w:hAnsi="Times New Roman"/>
          <w:b/>
          <w:i/>
          <w:sz w:val="20"/>
          <w:szCs w:val="20"/>
        </w:rPr>
        <w:t>B</w:t>
      </w:r>
      <w:r w:rsidR="00E753C3" w:rsidRPr="0095479E">
        <w:rPr>
          <w:rFonts w:ascii="Times New Roman" w:hAnsi="Times New Roman"/>
          <w:b/>
          <w:i/>
          <w:sz w:val="20"/>
          <w:szCs w:val="20"/>
          <w:vertAlign w:val="subscript"/>
        </w:rPr>
        <w:t>a,j</w:t>
      </w:r>
      <w:r w:rsidR="00E753C3" w:rsidRPr="0095479E">
        <w:rPr>
          <w:rFonts w:ascii="Times New Roman" w:hAnsi="Times New Roman"/>
          <w:b/>
          <w:sz w:val="20"/>
          <w:szCs w:val="20"/>
          <w:vertAlign w:val="subscript"/>
        </w:rPr>
        <w:t xml:space="preserve"> </w:t>
      </w:r>
      <w:r w:rsidR="00E753C3" w:rsidRPr="001057CB">
        <w:rPr>
          <w:rFonts w:ascii="Times New Roman" w:hAnsi="Times New Roman"/>
          <w:sz w:val="20"/>
          <w:szCs w:val="20"/>
        </w:rPr>
        <w:t>= 0 for 5-15 year olds</w:t>
      </w:r>
      <w:r w:rsidRPr="00191051">
        <w:rPr>
          <w:rFonts w:ascii="Times New Roman" w:hAnsi="Times New Roman"/>
          <w:sz w:val="20"/>
          <w:szCs w:val="20"/>
        </w:rPr>
        <w:t xml:space="preserve"> </w:t>
      </w:r>
      <w:r>
        <w:rPr>
          <w:rFonts w:ascii="Times New Roman" w:hAnsi="Times New Roman"/>
          <w:sz w:val="20"/>
          <w:szCs w:val="20"/>
        </w:rPr>
        <w:t>and</w:t>
      </w:r>
      <w:r w:rsidRPr="001F0955">
        <w:rPr>
          <w:rFonts w:ascii="Times New Roman" w:hAnsi="Times New Roman"/>
          <w:sz w:val="20"/>
          <w:szCs w:val="20"/>
        </w:rPr>
        <w:t xml:space="preserve"> </w:t>
      </w:r>
      <m:oMath>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0,j</m:t>
            </m:r>
          </m:sub>
        </m:sSub>
        <m:r>
          <m:rPr>
            <m:sty m:val="bi"/>
          </m:rPr>
          <w:rPr>
            <w:rFonts w:ascii="Cambria Math" w:hAnsi="Cambria Math"/>
            <w:sz w:val="20"/>
            <w:szCs w:val="20"/>
          </w:rPr>
          <m:t xml:space="preserve">~ </m:t>
        </m:r>
        <m:r>
          <m:rPr>
            <m:nor/>
          </m:rPr>
          <w:rPr>
            <w:rFonts w:ascii="Times New Roman" w:hAnsi="Times New Roman"/>
            <w:b/>
            <w:sz w:val="20"/>
            <w:szCs w:val="20"/>
          </w:rPr>
          <m:t>MVN</m:t>
        </m:r>
        <m:r>
          <m:rPr>
            <m:sty m:val="bi"/>
          </m:rPr>
          <w:rPr>
            <w:rFonts w:ascii="Cambria Math" w:hAnsi="Cambria Math"/>
            <w:sz w:val="20"/>
            <w:szCs w:val="20"/>
          </w:rPr>
          <m:t>(0, Σ)</m:t>
        </m:r>
      </m:oMath>
      <w:r w:rsidRPr="001F0955">
        <w:rPr>
          <w:rFonts w:ascii="Times New Roman" w:hAnsi="Times New Roman"/>
          <w:sz w:val="20"/>
          <w:szCs w:val="20"/>
        </w:rPr>
        <w:t xml:space="preserve"> with </w:t>
      </w:r>
      <m:oMath>
        <m:r>
          <m:rPr>
            <m:sty m:val="bi"/>
          </m:rPr>
          <w:rPr>
            <w:rFonts w:ascii="Cambria Math" w:hAnsi="Cambria Math"/>
            <w:sz w:val="20"/>
            <w:szCs w:val="20"/>
          </w:rPr>
          <m:t>Σ</m:t>
        </m:r>
      </m:oMath>
      <w:r w:rsidRPr="001F0955">
        <w:rPr>
          <w:rFonts w:ascii="Times New Roman" w:hAnsi="Times New Roman"/>
          <w:sz w:val="20"/>
          <w:szCs w:val="20"/>
        </w:rPr>
        <w:t xml:space="preserve"> as the covariance structure of the random effect terms</w:t>
      </w:r>
      <w:r w:rsidR="00E753C3" w:rsidRPr="001057CB">
        <w:rPr>
          <w:rFonts w:ascii="Times New Roman" w:hAnsi="Times New Roman"/>
          <w:sz w:val="20"/>
          <w:szCs w:val="20"/>
        </w:rPr>
        <w:t xml:space="preserve">. </w:t>
      </w:r>
      <w:r w:rsidR="00480448" w:rsidRPr="001057CB">
        <w:rPr>
          <w:rFonts w:ascii="Times New Roman" w:hAnsi="Times New Roman"/>
          <w:sz w:val="20"/>
          <w:szCs w:val="20"/>
        </w:rPr>
        <w:t xml:space="preserve">The linear </w:t>
      </w:r>
      <w:r w:rsidR="003D0C07" w:rsidRPr="001057CB">
        <w:rPr>
          <w:rFonts w:ascii="Times New Roman" w:hAnsi="Times New Roman"/>
          <w:sz w:val="20"/>
          <w:szCs w:val="20"/>
        </w:rPr>
        <w:t xml:space="preserve">prediction model </w:t>
      </w:r>
      <w:r w:rsidR="00480448" w:rsidRPr="001057CB">
        <w:rPr>
          <w:rFonts w:ascii="Times New Roman" w:hAnsi="Times New Roman"/>
          <w:sz w:val="20"/>
          <w:szCs w:val="20"/>
        </w:rPr>
        <w:t>is then:</w:t>
      </w:r>
    </w:p>
    <w:p w14:paraId="1D8BF4B3" w14:textId="77777777" w:rsidR="0070148F" w:rsidRPr="001057CB" w:rsidRDefault="0070148F" w:rsidP="003159E3">
      <w:pPr>
        <w:spacing w:line="480" w:lineRule="auto"/>
        <w:rPr>
          <w:rFonts w:ascii="Times New Roman" w:hAnsi="Times New Roman"/>
          <w:sz w:val="20"/>
          <w:szCs w:val="20"/>
        </w:rPr>
      </w:pPr>
    </w:p>
    <w:p w14:paraId="28FE13D3" w14:textId="364B5860" w:rsidR="0070148F" w:rsidRPr="001057CB" w:rsidRDefault="0070148F" w:rsidP="003159E3">
      <w:pPr>
        <w:spacing w:line="480" w:lineRule="auto"/>
        <w:rPr>
          <w:rFonts w:ascii="Times New Roman" w:hAnsi="Times New Roman"/>
          <w:sz w:val="20"/>
          <w:szCs w:val="20"/>
        </w:rPr>
      </w:pPr>
      <w:r w:rsidRPr="001057CB">
        <w:rPr>
          <w:rFonts w:ascii="Times New Roman" w:hAnsi="Times New Roman"/>
          <w:sz w:val="20"/>
          <w:szCs w:val="20"/>
        </w:rPr>
        <w:t>Incidence in children &lt;2 years of age:</w:t>
      </w:r>
    </w:p>
    <w:p w14:paraId="7A5C3421" w14:textId="5C960C81" w:rsidR="005A772B" w:rsidRPr="0095479E" w:rsidRDefault="00916BD1" w:rsidP="003159E3">
      <w:pPr>
        <w:spacing w:line="480" w:lineRule="auto"/>
        <w:rPr>
          <w:rFonts w:ascii="Times New Roman" w:hAnsi="Times New Roman"/>
          <w:b/>
          <w:sz w:val="20"/>
          <w:szCs w:val="20"/>
        </w:rPr>
      </w:pPr>
      <m:oMathPara>
        <m:oMath>
          <m:func>
            <m:funcPr>
              <m:ctrlPr>
                <w:rPr>
                  <w:rFonts w:ascii="Cambria Math" w:hAnsi="Cambria Math"/>
                  <w:b/>
                  <w:i/>
                  <w:sz w:val="20"/>
                  <w:szCs w:val="20"/>
                </w:rPr>
              </m:ctrlPr>
            </m:funcPr>
            <m:fName>
              <m:r>
                <m:rPr>
                  <m:sty m:val="b"/>
                </m:rPr>
                <w:rPr>
                  <w:rFonts w:ascii="Cambria Math" w:hAnsi="Cambria Math"/>
                  <w:sz w:val="20"/>
                  <w:szCs w:val="20"/>
                </w:rPr>
                <m:t>log</m:t>
              </m:r>
            </m:fName>
            <m:e>
              <m:d>
                <m:dPr>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λ</m:t>
                      </m:r>
                    </m:e>
                    <m:sub>
                      <m:r>
                        <m:rPr>
                          <m:sty m:val="bi"/>
                        </m:rPr>
                        <w:rPr>
                          <w:rFonts w:ascii="Cambria Math" w:hAnsi="Cambria Math"/>
                          <w:sz w:val="20"/>
                          <w:szCs w:val="20"/>
                        </w:rPr>
                        <m:t>1, j</m:t>
                      </m:r>
                    </m:sub>
                  </m:sSub>
                </m:e>
              </m:d>
              <m:sSub>
                <m:sSubPr>
                  <m:ctrlPr>
                    <w:rPr>
                      <w:rFonts w:ascii="Cambria Math" w:hAnsi="Cambria Math"/>
                      <w:b/>
                      <w:i/>
                      <w:sz w:val="20"/>
                      <w:szCs w:val="20"/>
                    </w:rPr>
                  </m:ctrlPr>
                </m:sSubPr>
                <m:e>
                  <m:r>
                    <m:rPr>
                      <m:nor/>
                    </m:rPr>
                    <w:rPr>
                      <w:rFonts w:ascii="Times New Roman" w:hAnsi="Times New Roman"/>
                      <w:b/>
                      <w:sz w:val="20"/>
                      <w:szCs w:val="20"/>
                    </w:rPr>
                    <m:t>person-years</m:t>
                  </m:r>
                  <m:ctrlPr>
                    <w:rPr>
                      <w:rFonts w:ascii="Cambria Math" w:hAnsi="Cambria Math"/>
                      <w:b/>
                      <w:sz w:val="20"/>
                      <w:szCs w:val="20"/>
                    </w:rPr>
                  </m:ctrlPr>
                </m:e>
                <m:sub>
                  <m:r>
                    <m:rPr>
                      <m:sty m:val="bi"/>
                    </m:rPr>
                    <w:rPr>
                      <w:rFonts w:ascii="Cambria Math" w:hAnsi="Cambria Math"/>
                      <w:sz w:val="20"/>
                      <w:szCs w:val="20"/>
                    </w:rPr>
                    <m:t>1,j</m:t>
                  </m:r>
                </m:sub>
              </m:sSub>
              <m:r>
                <m:rPr>
                  <m:sty m:val="bi"/>
                </m:rPr>
                <w:rPr>
                  <w:rFonts w:ascii="Cambria Math" w:hAnsi="Cambria Math"/>
                  <w:sz w:val="20"/>
                  <w:szCs w:val="20"/>
                </w:rPr>
                <m:t>)</m:t>
              </m:r>
            </m:e>
          </m:func>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0</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0,j</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1</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1,j</m:t>
              </m:r>
            </m:sub>
          </m:sSub>
          <m:r>
            <m:rPr>
              <m:sty m:val="bi"/>
            </m:rPr>
            <w:rPr>
              <w:rFonts w:ascii="Cambria Math" w:hAnsi="Cambria Math"/>
              <w:sz w:val="20"/>
              <w:szCs w:val="20"/>
            </w:rPr>
            <m:t xml:space="preserve">+γ </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j</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η</m:t>
              </m:r>
            </m:e>
            <m:sub>
              <m:r>
                <m:rPr>
                  <m:sty m:val="bi"/>
                </m:rPr>
                <w:rPr>
                  <w:rFonts w:ascii="Cambria Math" w:hAnsi="Cambria Math"/>
                  <w:sz w:val="20"/>
                  <w:szCs w:val="20"/>
                </w:rPr>
                <m:t>1</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j</m:t>
              </m:r>
            </m:sub>
          </m:sSub>
          <m:r>
            <m:rPr>
              <m:sty m:val="bi"/>
            </m:rPr>
            <w:rPr>
              <w:rFonts w:ascii="Cambria Math" w:hAnsi="Cambria Math"/>
              <w:sz w:val="20"/>
              <w:szCs w:val="20"/>
            </w:rPr>
            <m:t xml:space="preserve"> + </m:t>
          </m:r>
          <m:func>
            <m:funcPr>
              <m:ctrlPr>
                <w:rPr>
                  <w:rFonts w:ascii="Cambria Math" w:hAnsi="Cambria Math"/>
                  <w:b/>
                  <w:i/>
                  <w:sz w:val="20"/>
                  <w:szCs w:val="20"/>
                </w:rPr>
              </m:ctrlPr>
            </m:funcPr>
            <m:fName>
              <m:r>
                <m:rPr>
                  <m:sty m:val="b"/>
                </m:rPr>
                <w:rPr>
                  <w:rFonts w:ascii="Cambria Math" w:hAnsi="Cambria Math"/>
                  <w:sz w:val="20"/>
                  <w:szCs w:val="20"/>
                </w:rPr>
                <m:t>log</m:t>
              </m:r>
            </m:fName>
            <m:e>
              <m:d>
                <m:dPr>
                  <m:ctrlPr>
                    <w:rPr>
                      <w:rFonts w:ascii="Cambria Math" w:hAnsi="Cambria Math"/>
                      <w:b/>
                      <w:i/>
                      <w:sz w:val="20"/>
                      <w:szCs w:val="20"/>
                    </w:rPr>
                  </m:ctrlPr>
                </m:dPr>
                <m:e>
                  <m:sSub>
                    <m:sSubPr>
                      <m:ctrlPr>
                        <w:rPr>
                          <w:rFonts w:ascii="Cambria Math" w:hAnsi="Cambria Math"/>
                          <w:b/>
                          <w:i/>
                          <w:sz w:val="20"/>
                          <w:szCs w:val="20"/>
                        </w:rPr>
                      </m:ctrlPr>
                    </m:sSubPr>
                    <m:e>
                      <m:r>
                        <m:rPr>
                          <m:nor/>
                        </m:rPr>
                        <w:rPr>
                          <w:rFonts w:ascii="Times New Roman" w:hAnsi="Times New Roman"/>
                          <w:b/>
                          <w:sz w:val="20"/>
                          <w:szCs w:val="20"/>
                        </w:rPr>
                        <m:t>person-years</m:t>
                      </m:r>
                    </m:e>
                    <m:sub>
                      <m:r>
                        <m:rPr>
                          <m:sty m:val="bi"/>
                        </m:rPr>
                        <w:rPr>
                          <w:rFonts w:ascii="Cambria Math" w:hAnsi="Cambria Math"/>
                          <w:sz w:val="20"/>
                          <w:szCs w:val="20"/>
                        </w:rPr>
                        <m:t>1,j</m:t>
                      </m:r>
                    </m:sub>
                  </m:sSub>
                </m:e>
              </m:d>
            </m:e>
          </m:func>
        </m:oMath>
      </m:oMathPara>
    </w:p>
    <w:p w14:paraId="5E3FDFC4" w14:textId="77777777" w:rsidR="00B5615B" w:rsidRDefault="00B5615B" w:rsidP="003159E3">
      <w:pPr>
        <w:spacing w:line="480" w:lineRule="auto"/>
        <w:rPr>
          <w:rFonts w:ascii="Times New Roman" w:hAnsi="Times New Roman"/>
          <w:sz w:val="20"/>
          <w:szCs w:val="20"/>
        </w:rPr>
      </w:pPr>
    </w:p>
    <w:p w14:paraId="33ABD85F" w14:textId="7A6AC399" w:rsidR="005A772B" w:rsidRPr="001057CB" w:rsidRDefault="0090519E" w:rsidP="003159E3">
      <w:pPr>
        <w:spacing w:line="480" w:lineRule="auto"/>
        <w:rPr>
          <w:rFonts w:ascii="Times New Roman" w:hAnsi="Times New Roman"/>
          <w:sz w:val="20"/>
          <w:szCs w:val="20"/>
        </w:rPr>
      </w:pPr>
      <w:r w:rsidRPr="001057CB">
        <w:rPr>
          <w:rFonts w:ascii="Times New Roman" w:hAnsi="Times New Roman"/>
          <w:sz w:val="20"/>
          <w:szCs w:val="20"/>
        </w:rPr>
        <w:t>Incidence in 2-</w:t>
      </w:r>
      <w:r w:rsidR="00687065">
        <w:rPr>
          <w:rFonts w:ascii="Times New Roman" w:hAnsi="Times New Roman"/>
          <w:sz w:val="20"/>
          <w:szCs w:val="20"/>
        </w:rPr>
        <w:t xml:space="preserve">4 </w:t>
      </w:r>
      <w:r w:rsidRPr="001057CB">
        <w:rPr>
          <w:rFonts w:ascii="Times New Roman" w:hAnsi="Times New Roman"/>
          <w:sz w:val="20"/>
          <w:szCs w:val="20"/>
        </w:rPr>
        <w:t>year</w:t>
      </w:r>
      <w:r w:rsidR="00CE47F8" w:rsidRPr="001057CB">
        <w:rPr>
          <w:rFonts w:ascii="Times New Roman" w:hAnsi="Times New Roman"/>
          <w:sz w:val="20"/>
          <w:szCs w:val="20"/>
        </w:rPr>
        <w:t>s of age:</w:t>
      </w:r>
    </w:p>
    <w:p w14:paraId="52E59583" w14:textId="3D8CF047" w:rsidR="007858E3" w:rsidRPr="0095479E" w:rsidRDefault="00916BD1" w:rsidP="003159E3">
      <w:pPr>
        <w:spacing w:line="480" w:lineRule="auto"/>
        <w:ind w:firstLine="720"/>
        <w:rPr>
          <w:rFonts w:ascii="Times New Roman" w:hAnsi="Times New Roman"/>
          <w:b/>
          <w:sz w:val="20"/>
          <w:szCs w:val="20"/>
        </w:rPr>
      </w:pPr>
      <m:oMathPara>
        <m:oMath>
          <m:func>
            <m:funcPr>
              <m:ctrlPr>
                <w:rPr>
                  <w:rFonts w:ascii="Cambria Math" w:hAnsi="Cambria Math"/>
                  <w:b/>
                  <w:i/>
                  <w:sz w:val="20"/>
                  <w:szCs w:val="20"/>
                </w:rPr>
              </m:ctrlPr>
            </m:funcPr>
            <m:fName>
              <m:r>
                <m:rPr>
                  <m:sty m:val="b"/>
                </m:rPr>
                <w:rPr>
                  <w:rFonts w:ascii="Cambria Math" w:hAnsi="Cambria Math"/>
                  <w:sz w:val="20"/>
                  <w:szCs w:val="20"/>
                </w:rPr>
                <m:t>log</m:t>
              </m:r>
            </m:fName>
            <m:e>
              <m:d>
                <m:dPr>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λ</m:t>
                      </m:r>
                    </m:e>
                    <m:sub>
                      <m:r>
                        <m:rPr>
                          <m:sty m:val="bi"/>
                        </m:rPr>
                        <w:rPr>
                          <w:rFonts w:ascii="Cambria Math" w:hAnsi="Cambria Math"/>
                          <w:sz w:val="20"/>
                          <w:szCs w:val="20"/>
                        </w:rPr>
                        <m:t>2, j</m:t>
                      </m:r>
                    </m:sub>
                  </m:sSub>
                </m:e>
              </m:d>
              <m:sSub>
                <m:sSubPr>
                  <m:ctrlPr>
                    <w:rPr>
                      <w:rFonts w:ascii="Cambria Math" w:hAnsi="Cambria Math"/>
                      <w:b/>
                      <w:i/>
                      <w:sz w:val="20"/>
                      <w:szCs w:val="20"/>
                    </w:rPr>
                  </m:ctrlPr>
                </m:sSubPr>
                <m:e>
                  <m:r>
                    <m:rPr>
                      <m:nor/>
                    </m:rPr>
                    <w:rPr>
                      <w:rFonts w:ascii="Times New Roman" w:hAnsi="Times New Roman"/>
                      <w:b/>
                      <w:sz w:val="20"/>
                      <w:szCs w:val="20"/>
                    </w:rPr>
                    <m:t>person-years</m:t>
                  </m:r>
                  <m:ctrlPr>
                    <w:rPr>
                      <w:rFonts w:ascii="Cambria Math" w:hAnsi="Cambria Math"/>
                      <w:b/>
                      <w:sz w:val="20"/>
                      <w:szCs w:val="20"/>
                    </w:rPr>
                  </m:ctrlPr>
                </m:e>
                <m:sub>
                  <m:r>
                    <m:rPr>
                      <m:sty m:val="bi"/>
                    </m:rPr>
                    <w:rPr>
                      <w:rFonts w:ascii="Cambria Math" w:hAnsi="Cambria Math"/>
                      <w:sz w:val="20"/>
                      <w:szCs w:val="20"/>
                    </w:rPr>
                    <m:t>2,j</m:t>
                  </m:r>
                </m:sub>
              </m:sSub>
              <m:r>
                <m:rPr>
                  <m:sty m:val="bi"/>
                </m:rPr>
                <w:rPr>
                  <w:rFonts w:ascii="Cambria Math" w:hAnsi="Cambria Math"/>
                  <w:sz w:val="20"/>
                  <w:szCs w:val="20"/>
                </w:rPr>
                <m:t>)</m:t>
              </m:r>
            </m:e>
          </m:func>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0</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0,j</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2</m:t>
              </m:r>
            </m:sub>
          </m:sSub>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2, j</m:t>
              </m:r>
            </m:sub>
          </m:sSub>
          <m:r>
            <m:rPr>
              <m:sty m:val="bi"/>
            </m:rPr>
            <w:rPr>
              <w:rFonts w:ascii="Cambria Math" w:hAnsi="Cambria Math"/>
              <w:sz w:val="20"/>
              <w:szCs w:val="20"/>
            </w:rPr>
            <m:t xml:space="preserve"> +γ </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j</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η</m:t>
              </m:r>
            </m:e>
            <m:sub>
              <m:r>
                <m:rPr>
                  <m:sty m:val="bi"/>
                </m:rPr>
                <w:rPr>
                  <w:rFonts w:ascii="Cambria Math" w:hAnsi="Cambria Math"/>
                  <w:sz w:val="20"/>
                  <w:szCs w:val="20"/>
                </w:rPr>
                <m:t>2</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j</m:t>
              </m:r>
            </m:sub>
          </m:sSub>
          <m:r>
            <m:rPr>
              <m:sty m:val="bi"/>
            </m:rPr>
            <w:rPr>
              <w:rFonts w:ascii="Cambria Math" w:hAnsi="Cambria Math"/>
              <w:sz w:val="20"/>
              <w:szCs w:val="20"/>
            </w:rPr>
            <m:t xml:space="preserve"> + </m:t>
          </m:r>
          <m:func>
            <m:funcPr>
              <m:ctrlPr>
                <w:rPr>
                  <w:rFonts w:ascii="Cambria Math" w:hAnsi="Cambria Math"/>
                  <w:b/>
                  <w:i/>
                  <w:sz w:val="20"/>
                  <w:szCs w:val="20"/>
                </w:rPr>
              </m:ctrlPr>
            </m:funcPr>
            <m:fName>
              <m:r>
                <m:rPr>
                  <m:sty m:val="b"/>
                </m:rPr>
                <w:rPr>
                  <w:rFonts w:ascii="Cambria Math" w:hAnsi="Cambria Math"/>
                  <w:sz w:val="20"/>
                  <w:szCs w:val="20"/>
                </w:rPr>
                <m:t>log</m:t>
              </m:r>
            </m:fName>
            <m:e>
              <m:d>
                <m:dPr>
                  <m:ctrlPr>
                    <w:rPr>
                      <w:rFonts w:ascii="Cambria Math" w:hAnsi="Cambria Math"/>
                      <w:b/>
                      <w:i/>
                      <w:sz w:val="20"/>
                      <w:szCs w:val="20"/>
                    </w:rPr>
                  </m:ctrlPr>
                </m:dPr>
                <m:e>
                  <m:sSub>
                    <m:sSubPr>
                      <m:ctrlPr>
                        <w:rPr>
                          <w:rFonts w:ascii="Cambria Math" w:hAnsi="Cambria Math"/>
                          <w:b/>
                          <w:i/>
                          <w:sz w:val="20"/>
                          <w:szCs w:val="20"/>
                        </w:rPr>
                      </m:ctrlPr>
                    </m:sSubPr>
                    <m:e>
                      <m:r>
                        <m:rPr>
                          <m:nor/>
                        </m:rPr>
                        <w:rPr>
                          <w:rFonts w:ascii="Times New Roman" w:hAnsi="Times New Roman"/>
                          <w:b/>
                          <w:sz w:val="20"/>
                          <w:szCs w:val="20"/>
                        </w:rPr>
                        <m:t>person-years</m:t>
                      </m:r>
                    </m:e>
                    <m:sub>
                      <m:r>
                        <m:rPr>
                          <m:sty m:val="bi"/>
                        </m:rPr>
                        <w:rPr>
                          <w:rFonts w:ascii="Cambria Math" w:hAnsi="Cambria Math"/>
                          <w:sz w:val="20"/>
                          <w:szCs w:val="20"/>
                        </w:rPr>
                        <m:t>2,j</m:t>
                      </m:r>
                    </m:sub>
                  </m:sSub>
                </m:e>
              </m:d>
            </m:e>
          </m:func>
        </m:oMath>
      </m:oMathPara>
    </w:p>
    <w:p w14:paraId="53785764" w14:textId="77777777" w:rsidR="00B5615B" w:rsidRDefault="00B5615B" w:rsidP="003159E3">
      <w:pPr>
        <w:spacing w:line="480" w:lineRule="auto"/>
        <w:rPr>
          <w:rFonts w:ascii="Times New Roman" w:hAnsi="Times New Roman"/>
          <w:sz w:val="20"/>
          <w:szCs w:val="20"/>
        </w:rPr>
      </w:pPr>
    </w:p>
    <w:p w14:paraId="6819E285" w14:textId="1B7808E3" w:rsidR="00A637A3" w:rsidRPr="001057CB" w:rsidRDefault="00A637A3" w:rsidP="003159E3">
      <w:pPr>
        <w:spacing w:line="480" w:lineRule="auto"/>
        <w:rPr>
          <w:rFonts w:ascii="Times New Roman" w:hAnsi="Times New Roman"/>
          <w:sz w:val="20"/>
          <w:szCs w:val="20"/>
        </w:rPr>
      </w:pPr>
      <w:r w:rsidRPr="001057CB">
        <w:rPr>
          <w:rFonts w:ascii="Times New Roman" w:hAnsi="Times New Roman"/>
          <w:sz w:val="20"/>
          <w:szCs w:val="20"/>
        </w:rPr>
        <w:t>Incidence in 5-1</w:t>
      </w:r>
      <w:r w:rsidR="00BD425F">
        <w:rPr>
          <w:rFonts w:ascii="Times New Roman" w:hAnsi="Times New Roman"/>
          <w:sz w:val="20"/>
          <w:szCs w:val="20"/>
        </w:rPr>
        <w:t>4</w:t>
      </w:r>
      <w:r w:rsidRPr="001057CB">
        <w:rPr>
          <w:rFonts w:ascii="Times New Roman" w:hAnsi="Times New Roman"/>
          <w:sz w:val="20"/>
          <w:szCs w:val="20"/>
        </w:rPr>
        <w:t xml:space="preserve"> year</w:t>
      </w:r>
      <w:r w:rsidR="00CE47F8" w:rsidRPr="001057CB">
        <w:rPr>
          <w:rFonts w:ascii="Times New Roman" w:hAnsi="Times New Roman"/>
          <w:sz w:val="20"/>
          <w:szCs w:val="20"/>
        </w:rPr>
        <w:t>s of age:</w:t>
      </w:r>
    </w:p>
    <w:p w14:paraId="077DAFBD" w14:textId="50109182" w:rsidR="003D0C07" w:rsidRPr="0095479E" w:rsidRDefault="00916BD1" w:rsidP="003159E3">
      <w:pPr>
        <w:spacing w:line="480" w:lineRule="auto"/>
        <w:ind w:left="540"/>
        <w:rPr>
          <w:rFonts w:ascii="Times New Roman" w:hAnsi="Times New Roman"/>
          <w:b/>
          <w:sz w:val="20"/>
          <w:szCs w:val="20"/>
        </w:rPr>
      </w:pPr>
      <m:oMathPara>
        <m:oMathParaPr>
          <m:jc m:val="left"/>
        </m:oMathParaPr>
        <m:oMath>
          <m:func>
            <m:funcPr>
              <m:ctrlPr>
                <w:rPr>
                  <w:rFonts w:ascii="Cambria Math" w:hAnsi="Cambria Math"/>
                  <w:b/>
                  <w:i/>
                  <w:sz w:val="20"/>
                  <w:szCs w:val="20"/>
                </w:rPr>
              </m:ctrlPr>
            </m:funcPr>
            <m:fName>
              <m:r>
                <m:rPr>
                  <m:sty m:val="b"/>
                </m:rPr>
                <w:rPr>
                  <w:rFonts w:ascii="Cambria Math" w:hAnsi="Cambria Math"/>
                  <w:sz w:val="20"/>
                  <w:szCs w:val="20"/>
                </w:rPr>
                <m:t>log</m:t>
              </m:r>
            </m:fName>
            <m:e>
              <m:d>
                <m:dPr>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λ</m:t>
                      </m:r>
                    </m:e>
                    <m:sub>
                      <m:r>
                        <m:rPr>
                          <m:sty m:val="bi"/>
                        </m:rPr>
                        <w:rPr>
                          <w:rFonts w:ascii="Cambria Math" w:hAnsi="Cambria Math"/>
                          <w:sz w:val="20"/>
                          <w:szCs w:val="20"/>
                        </w:rPr>
                        <m:t>3, j</m:t>
                      </m:r>
                    </m:sub>
                  </m:sSub>
                </m:e>
              </m:d>
              <m:sSub>
                <m:sSubPr>
                  <m:ctrlPr>
                    <w:rPr>
                      <w:rFonts w:ascii="Cambria Math" w:hAnsi="Cambria Math"/>
                      <w:b/>
                      <w:i/>
                      <w:sz w:val="20"/>
                      <w:szCs w:val="20"/>
                    </w:rPr>
                  </m:ctrlPr>
                </m:sSubPr>
                <m:e>
                  <m:r>
                    <m:rPr>
                      <m:nor/>
                    </m:rPr>
                    <w:rPr>
                      <w:rFonts w:ascii="Times New Roman" w:hAnsi="Times New Roman"/>
                      <w:b/>
                      <w:sz w:val="20"/>
                      <w:szCs w:val="20"/>
                    </w:rPr>
                    <m:t>person-years</m:t>
                  </m:r>
                  <m:ctrlPr>
                    <w:rPr>
                      <w:rFonts w:ascii="Cambria Math" w:hAnsi="Cambria Math"/>
                      <w:b/>
                      <w:sz w:val="20"/>
                      <w:szCs w:val="20"/>
                    </w:rPr>
                  </m:ctrlPr>
                </m:e>
                <m:sub>
                  <m:r>
                    <m:rPr>
                      <m:sty m:val="bi"/>
                    </m:rPr>
                    <w:rPr>
                      <w:rFonts w:ascii="Cambria Math" w:hAnsi="Cambria Math"/>
                      <w:sz w:val="20"/>
                      <w:szCs w:val="20"/>
                    </w:rPr>
                    <m:t>3,j</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0</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0,j</m:t>
                  </m:r>
                </m:sub>
              </m:sSub>
              <m:r>
                <m:rPr>
                  <m:sty m:val="bi"/>
                </m:rPr>
                <w:rPr>
                  <w:rFonts w:ascii="Cambria Math" w:hAnsi="Cambria Math"/>
                  <w:sz w:val="20"/>
                  <w:szCs w:val="20"/>
                </w:rPr>
                <m:t xml:space="preserve"> +γ </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j</m:t>
                  </m:r>
                </m:sub>
              </m:sSub>
              <m:r>
                <m:rPr>
                  <m:sty m:val="bi"/>
                </m:rPr>
                <w:rPr>
                  <w:rFonts w:ascii="Cambria Math" w:hAnsi="Cambria Math"/>
                  <w:sz w:val="20"/>
                  <w:szCs w:val="20"/>
                </w:rPr>
                <m:t xml:space="preserve"> + </m:t>
              </m:r>
              <m:func>
                <m:funcPr>
                  <m:ctrlPr>
                    <w:rPr>
                      <w:rFonts w:ascii="Cambria Math" w:hAnsi="Cambria Math"/>
                      <w:b/>
                      <w:i/>
                      <w:sz w:val="20"/>
                      <w:szCs w:val="20"/>
                    </w:rPr>
                  </m:ctrlPr>
                </m:funcPr>
                <m:fName>
                  <m:r>
                    <m:rPr>
                      <m:sty m:val="b"/>
                    </m:rPr>
                    <w:rPr>
                      <w:rFonts w:ascii="Cambria Math" w:hAnsi="Cambria Math"/>
                      <w:sz w:val="20"/>
                      <w:szCs w:val="20"/>
                    </w:rPr>
                    <m:t>log</m:t>
                  </m:r>
                </m:fName>
                <m:e>
                  <m:d>
                    <m:dPr>
                      <m:ctrlPr>
                        <w:rPr>
                          <w:rFonts w:ascii="Cambria Math" w:hAnsi="Cambria Math"/>
                          <w:b/>
                          <w:i/>
                          <w:sz w:val="20"/>
                          <w:szCs w:val="20"/>
                        </w:rPr>
                      </m:ctrlPr>
                    </m:dPr>
                    <m:e>
                      <m:sSub>
                        <m:sSubPr>
                          <m:ctrlPr>
                            <w:rPr>
                              <w:rFonts w:ascii="Cambria Math" w:hAnsi="Cambria Math"/>
                              <w:b/>
                              <w:i/>
                              <w:sz w:val="20"/>
                              <w:szCs w:val="20"/>
                            </w:rPr>
                          </m:ctrlPr>
                        </m:sSubPr>
                        <m:e>
                          <m:r>
                            <m:rPr>
                              <m:nor/>
                            </m:rPr>
                            <w:rPr>
                              <w:rFonts w:ascii="Times New Roman" w:hAnsi="Times New Roman"/>
                              <w:b/>
                              <w:sz w:val="20"/>
                              <w:szCs w:val="20"/>
                            </w:rPr>
                            <m:t>person-years</m:t>
                          </m:r>
                        </m:e>
                        <m:sub>
                          <m:r>
                            <m:rPr>
                              <m:sty m:val="bi"/>
                            </m:rPr>
                            <w:rPr>
                              <w:rFonts w:ascii="Cambria Math" w:hAnsi="Cambria Math"/>
                              <w:sz w:val="20"/>
                              <w:szCs w:val="20"/>
                            </w:rPr>
                            <m:t>3,j</m:t>
                          </m:r>
                        </m:sub>
                      </m:sSub>
                    </m:e>
                  </m:d>
                </m:e>
              </m:func>
            </m:e>
          </m:func>
          <m:r>
            <m:rPr>
              <m:sty m:val="bi"/>
            </m:rPr>
            <w:rPr>
              <w:rFonts w:ascii="Cambria Math" w:hAnsi="Cambria Math"/>
              <w:sz w:val="20"/>
              <w:szCs w:val="20"/>
            </w:rPr>
            <m:t xml:space="preserve"> </m:t>
          </m:r>
        </m:oMath>
      </m:oMathPara>
    </w:p>
    <w:p w14:paraId="4ABD7477" w14:textId="77777777" w:rsidR="00B5615B" w:rsidRDefault="00B5615B" w:rsidP="003159E3">
      <w:pPr>
        <w:spacing w:line="480" w:lineRule="auto"/>
        <w:rPr>
          <w:rFonts w:ascii="Times New Roman" w:hAnsi="Times New Roman"/>
          <w:sz w:val="20"/>
          <w:szCs w:val="20"/>
        </w:rPr>
      </w:pPr>
    </w:p>
    <w:p w14:paraId="7B082DA0" w14:textId="1636648C" w:rsidR="00605815" w:rsidRPr="001057CB" w:rsidRDefault="00BD425F" w:rsidP="003159E3">
      <w:pPr>
        <w:spacing w:line="480" w:lineRule="auto"/>
        <w:rPr>
          <w:rFonts w:ascii="Times New Roman" w:hAnsi="Times New Roman"/>
          <w:sz w:val="20"/>
          <w:szCs w:val="20"/>
        </w:rPr>
      </w:pPr>
      <w:r>
        <w:rPr>
          <w:rFonts w:ascii="Times New Roman" w:hAnsi="Times New Roman"/>
          <w:sz w:val="20"/>
          <w:szCs w:val="20"/>
        </w:rPr>
        <w:t xml:space="preserve">Incidence in </w:t>
      </w:r>
      <w:r w:rsidRPr="002067DE">
        <w:rPr>
          <w:rFonts w:asciiTheme="majorHAnsi" w:eastAsia="Times New Roman" w:hAnsiTheme="majorHAnsi"/>
          <w:b/>
          <w:sz w:val="20"/>
          <w:szCs w:val="20"/>
        </w:rPr>
        <w:t>≥</w:t>
      </w:r>
      <w:r>
        <w:rPr>
          <w:rFonts w:ascii="Times New Roman" w:hAnsi="Times New Roman"/>
          <w:sz w:val="20"/>
          <w:szCs w:val="20"/>
        </w:rPr>
        <w:t>15</w:t>
      </w:r>
      <w:r w:rsidR="006867DA" w:rsidRPr="001057CB">
        <w:rPr>
          <w:rFonts w:ascii="Times New Roman" w:hAnsi="Times New Roman"/>
          <w:sz w:val="20"/>
          <w:szCs w:val="20"/>
        </w:rPr>
        <w:t xml:space="preserve"> years of age</w:t>
      </w:r>
      <w:r w:rsidR="00CE47F8" w:rsidRPr="001057CB">
        <w:rPr>
          <w:rFonts w:ascii="Times New Roman" w:hAnsi="Times New Roman"/>
          <w:sz w:val="20"/>
          <w:szCs w:val="20"/>
        </w:rPr>
        <w:t>:</w:t>
      </w:r>
    </w:p>
    <w:p w14:paraId="1940EE60" w14:textId="4C9426EF" w:rsidR="00AE31A0" w:rsidRPr="0095479E" w:rsidRDefault="00916BD1" w:rsidP="003159E3">
      <w:pPr>
        <w:spacing w:line="480" w:lineRule="auto"/>
        <w:rPr>
          <w:rFonts w:ascii="Times New Roman" w:hAnsi="Times New Roman"/>
          <w:b/>
          <w:sz w:val="20"/>
          <w:szCs w:val="20"/>
        </w:rPr>
      </w:pPr>
      <m:oMathPara>
        <m:oMath>
          <m:func>
            <m:funcPr>
              <m:ctrlPr>
                <w:rPr>
                  <w:rFonts w:ascii="Cambria Math" w:hAnsi="Cambria Math"/>
                  <w:b/>
                  <w:i/>
                  <w:sz w:val="20"/>
                  <w:szCs w:val="20"/>
                </w:rPr>
              </m:ctrlPr>
            </m:funcPr>
            <m:fName>
              <m:r>
                <m:rPr>
                  <m:sty m:val="b"/>
                </m:rPr>
                <w:rPr>
                  <w:rFonts w:ascii="Cambria Math" w:hAnsi="Cambria Math"/>
                  <w:sz w:val="20"/>
                  <w:szCs w:val="20"/>
                </w:rPr>
                <m:t>log</m:t>
              </m:r>
            </m:fName>
            <m:e>
              <m:d>
                <m:dPr>
                  <m:endChr m:val="|"/>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λ</m:t>
                      </m:r>
                    </m:e>
                    <m:sub>
                      <m:r>
                        <m:rPr>
                          <m:sty m:val="bi"/>
                        </m:rPr>
                        <w:rPr>
                          <w:rFonts w:ascii="Cambria Math" w:hAnsi="Cambria Math"/>
                          <w:sz w:val="20"/>
                          <w:szCs w:val="20"/>
                        </w:rPr>
                        <m:t>4, j</m:t>
                      </m:r>
                    </m:sub>
                  </m:sSub>
                </m:e>
              </m:d>
              <m:sSub>
                <m:sSubPr>
                  <m:ctrlPr>
                    <w:rPr>
                      <w:rFonts w:ascii="Cambria Math" w:hAnsi="Cambria Math"/>
                      <w:b/>
                      <w:i/>
                      <w:sz w:val="20"/>
                      <w:szCs w:val="20"/>
                    </w:rPr>
                  </m:ctrlPr>
                </m:sSubPr>
                <m:e>
                  <m:r>
                    <m:rPr>
                      <m:nor/>
                    </m:rPr>
                    <w:rPr>
                      <w:rFonts w:ascii="Times New Roman" w:hAnsi="Times New Roman"/>
                      <w:b/>
                      <w:sz w:val="20"/>
                      <w:szCs w:val="20"/>
                    </w:rPr>
                    <m:t>person-years</m:t>
                  </m:r>
                  <m:ctrlPr>
                    <w:rPr>
                      <w:rFonts w:ascii="Cambria Math" w:hAnsi="Cambria Math"/>
                      <w:b/>
                      <w:sz w:val="20"/>
                      <w:szCs w:val="20"/>
                    </w:rPr>
                  </m:ctrlPr>
                </m:e>
                <m:sub>
                  <m:r>
                    <m:rPr>
                      <m:sty m:val="bi"/>
                    </m:rPr>
                    <w:rPr>
                      <w:rFonts w:ascii="Cambria Math" w:hAnsi="Cambria Math"/>
                      <w:sz w:val="20"/>
                      <w:szCs w:val="20"/>
                    </w:rPr>
                    <m:t>4,j</m:t>
                  </m:r>
                </m:sub>
              </m:sSub>
              <m:r>
                <m:rPr>
                  <m:sty m:val="bi"/>
                </m:rPr>
                <w:rPr>
                  <w:rFonts w:ascii="Cambria Math" w:hAnsi="Cambria Math"/>
                  <w:sz w:val="20"/>
                  <w:szCs w:val="20"/>
                </w:rPr>
                <m:t>)</m:t>
              </m:r>
            </m:e>
          </m:func>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0</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0,j</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4</m:t>
              </m:r>
            </m:sub>
          </m:sSub>
          <m:sSub>
            <m:sSubPr>
              <m:ctrlPr>
                <w:rPr>
                  <w:rFonts w:ascii="Cambria Math" w:hAnsi="Cambria Math"/>
                  <w:b/>
                  <w:i/>
                  <w:sz w:val="20"/>
                  <w:szCs w:val="20"/>
                </w:rPr>
              </m:ctrlPr>
            </m:sSubPr>
            <m:e>
              <m:r>
                <m:rPr>
                  <m:sty m:val="bi"/>
                </m:rPr>
                <w:rPr>
                  <w:rFonts w:ascii="Cambria Math" w:hAnsi="Cambria Math"/>
                  <w:sz w:val="20"/>
                  <w:szCs w:val="20"/>
                </w:rPr>
                <m:t>+ α</m:t>
              </m:r>
            </m:e>
            <m:sub>
              <m:r>
                <m:rPr>
                  <m:sty m:val="bi"/>
                </m:rPr>
                <w:rPr>
                  <w:rFonts w:ascii="Cambria Math" w:hAnsi="Cambria Math"/>
                  <w:sz w:val="20"/>
                  <w:szCs w:val="20"/>
                </w:rPr>
                <m:t>4, j</m:t>
              </m:r>
            </m:sub>
          </m:sSub>
          <m:r>
            <m:rPr>
              <m:sty m:val="bi"/>
            </m:rPr>
            <w:rPr>
              <w:rFonts w:ascii="Cambria Math" w:hAnsi="Cambria Math"/>
              <w:sz w:val="20"/>
              <w:szCs w:val="20"/>
            </w:rPr>
            <m:t xml:space="preserve"> +γ </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j</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η</m:t>
              </m:r>
            </m:e>
            <m:sub>
              <m:r>
                <m:rPr>
                  <m:sty m:val="bi"/>
                </m:rPr>
                <w:rPr>
                  <w:rFonts w:ascii="Cambria Math" w:hAnsi="Cambria Math"/>
                  <w:sz w:val="20"/>
                  <w:szCs w:val="20"/>
                </w:rPr>
                <m:t>4</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j</m:t>
              </m:r>
            </m:sub>
          </m:sSub>
          <m:r>
            <m:rPr>
              <m:sty m:val="bi"/>
            </m:rPr>
            <w:rPr>
              <w:rFonts w:ascii="Cambria Math" w:hAnsi="Cambria Math"/>
              <w:sz w:val="20"/>
              <w:szCs w:val="20"/>
            </w:rPr>
            <m:t xml:space="preserve"> + </m:t>
          </m:r>
          <m:func>
            <m:funcPr>
              <m:ctrlPr>
                <w:rPr>
                  <w:rFonts w:ascii="Cambria Math" w:hAnsi="Cambria Math"/>
                  <w:b/>
                  <w:i/>
                  <w:sz w:val="20"/>
                  <w:szCs w:val="20"/>
                </w:rPr>
              </m:ctrlPr>
            </m:funcPr>
            <m:fName>
              <m:r>
                <m:rPr>
                  <m:sty m:val="b"/>
                </m:rPr>
                <w:rPr>
                  <w:rFonts w:ascii="Cambria Math" w:hAnsi="Cambria Math"/>
                  <w:sz w:val="20"/>
                  <w:szCs w:val="20"/>
                </w:rPr>
                <m:t>log</m:t>
              </m:r>
            </m:fName>
            <m:e>
              <m:d>
                <m:dPr>
                  <m:ctrlPr>
                    <w:rPr>
                      <w:rFonts w:ascii="Cambria Math" w:hAnsi="Cambria Math"/>
                      <w:b/>
                      <w:i/>
                      <w:sz w:val="20"/>
                      <w:szCs w:val="20"/>
                    </w:rPr>
                  </m:ctrlPr>
                </m:dPr>
                <m:e>
                  <m:sSub>
                    <m:sSubPr>
                      <m:ctrlPr>
                        <w:rPr>
                          <w:rFonts w:ascii="Cambria Math" w:hAnsi="Cambria Math"/>
                          <w:b/>
                          <w:i/>
                          <w:sz w:val="20"/>
                          <w:szCs w:val="20"/>
                        </w:rPr>
                      </m:ctrlPr>
                    </m:sSubPr>
                    <m:e>
                      <m:r>
                        <m:rPr>
                          <m:nor/>
                        </m:rPr>
                        <w:rPr>
                          <w:rFonts w:ascii="Times New Roman" w:hAnsi="Times New Roman"/>
                          <w:b/>
                          <w:sz w:val="20"/>
                          <w:szCs w:val="20"/>
                        </w:rPr>
                        <m:t>person-years</m:t>
                      </m:r>
                    </m:e>
                    <m:sub>
                      <m:r>
                        <m:rPr>
                          <m:sty m:val="bi"/>
                        </m:rPr>
                        <w:rPr>
                          <w:rFonts w:ascii="Cambria Math" w:hAnsi="Cambria Math"/>
                          <w:sz w:val="20"/>
                          <w:szCs w:val="20"/>
                        </w:rPr>
                        <m:t>4,j</m:t>
                      </m:r>
                    </m:sub>
                  </m:sSub>
                </m:e>
              </m:d>
            </m:e>
          </m:func>
          <m:r>
            <m:rPr>
              <m:sty m:val="bi"/>
            </m:rPr>
            <w:rPr>
              <w:rFonts w:ascii="Cambria Math" w:hAnsi="Cambria Math"/>
              <w:sz w:val="20"/>
              <w:szCs w:val="20"/>
            </w:rPr>
            <m:t xml:space="preserve"> </m:t>
          </m:r>
        </m:oMath>
      </m:oMathPara>
    </w:p>
    <w:p w14:paraId="2A2EDC8B" w14:textId="77777777" w:rsidR="00191051" w:rsidRDefault="00191051" w:rsidP="003159E3">
      <w:pPr>
        <w:spacing w:line="480" w:lineRule="auto"/>
        <w:rPr>
          <w:rFonts w:ascii="Times New Roman" w:hAnsi="Times New Roman"/>
          <w:sz w:val="20"/>
          <w:szCs w:val="20"/>
        </w:rPr>
      </w:pPr>
    </w:p>
    <w:p w14:paraId="216C7966" w14:textId="76CC4540" w:rsidR="00AE31A0" w:rsidRDefault="00191051" w:rsidP="003159E3">
      <w:pPr>
        <w:spacing w:line="480" w:lineRule="auto"/>
        <w:rPr>
          <w:rFonts w:ascii="Times New Roman" w:hAnsi="Times New Roman"/>
          <w:sz w:val="20"/>
          <w:szCs w:val="20"/>
        </w:rPr>
      </w:pPr>
      <w:r w:rsidRPr="001F0955">
        <w:rPr>
          <w:rFonts w:ascii="Times New Roman" w:hAnsi="Times New Roman"/>
          <w:sz w:val="20"/>
          <w:szCs w:val="20"/>
        </w:rPr>
        <w:t xml:space="preserve">where </w:t>
      </w:r>
      <w:r w:rsidRPr="0095479E">
        <w:rPr>
          <w:rFonts w:ascii="Times New Roman" w:hAnsi="Times New Roman"/>
          <w:b/>
          <w:i/>
          <w:sz w:val="20"/>
          <w:szCs w:val="20"/>
        </w:rPr>
        <w:sym w:font="Symbol" w:char="F067"/>
      </w:r>
      <w:r w:rsidRPr="001F0955">
        <w:rPr>
          <w:rFonts w:ascii="Times New Roman" w:hAnsi="Times New Roman"/>
          <w:i/>
          <w:sz w:val="20"/>
          <w:szCs w:val="20"/>
        </w:rPr>
        <w:t xml:space="preserve"> </w:t>
      </w:r>
      <w:r w:rsidRPr="001F0955">
        <w:rPr>
          <w:rFonts w:ascii="Times New Roman" w:hAnsi="Times New Roman"/>
          <w:sz w:val="20"/>
          <w:szCs w:val="20"/>
        </w:rPr>
        <w:t xml:space="preserve">and </w:t>
      </w:r>
      <w:r w:rsidRPr="0095479E">
        <w:rPr>
          <w:rFonts w:ascii="Times New Roman" w:hAnsi="Times New Roman"/>
          <w:b/>
          <w:i/>
          <w:sz w:val="20"/>
          <w:szCs w:val="20"/>
        </w:rPr>
        <w:sym w:font="Symbol" w:char="F068"/>
      </w:r>
      <w:r w:rsidRPr="0095479E">
        <w:rPr>
          <w:rFonts w:ascii="Times New Roman" w:hAnsi="Times New Roman"/>
          <w:b/>
          <w:i/>
          <w:sz w:val="20"/>
          <w:szCs w:val="20"/>
          <w:vertAlign w:val="subscript"/>
        </w:rPr>
        <w:t>a</w:t>
      </w:r>
      <w:r w:rsidRPr="001F0955">
        <w:rPr>
          <w:rFonts w:ascii="Times New Roman" w:hAnsi="Times New Roman"/>
          <w:sz w:val="20"/>
          <w:szCs w:val="20"/>
        </w:rPr>
        <w:t xml:space="preserve"> are the effect sizes corresponding to each predictor for the intercept and slope, respectively; again, </w:t>
      </w:r>
      <w:r w:rsidRPr="0095479E">
        <w:rPr>
          <w:rFonts w:ascii="Times New Roman" w:hAnsi="Times New Roman"/>
          <w:b/>
          <w:i/>
          <w:sz w:val="20"/>
          <w:szCs w:val="20"/>
        </w:rPr>
        <w:t>B</w:t>
      </w:r>
      <w:r w:rsidRPr="0095479E">
        <w:rPr>
          <w:rFonts w:ascii="Times New Roman" w:hAnsi="Times New Roman"/>
          <w:b/>
          <w:i/>
          <w:sz w:val="20"/>
          <w:szCs w:val="20"/>
          <w:vertAlign w:val="subscript"/>
        </w:rPr>
        <w:t>a,j</w:t>
      </w:r>
      <w:r w:rsidRPr="0095479E">
        <w:rPr>
          <w:rFonts w:ascii="Times New Roman" w:hAnsi="Times New Roman"/>
          <w:b/>
          <w:sz w:val="20"/>
          <w:szCs w:val="20"/>
          <w:vertAlign w:val="subscript"/>
        </w:rPr>
        <w:t xml:space="preserve"> </w:t>
      </w:r>
      <w:r w:rsidRPr="0095479E">
        <w:rPr>
          <w:rFonts w:ascii="Times New Roman" w:hAnsi="Times New Roman"/>
          <w:b/>
          <w:sz w:val="20"/>
          <w:szCs w:val="20"/>
        </w:rPr>
        <w:t>= 0</w:t>
      </w:r>
      <w:r w:rsidR="00102106">
        <w:rPr>
          <w:rFonts w:ascii="Times New Roman" w:hAnsi="Times New Roman"/>
          <w:sz w:val="20"/>
          <w:szCs w:val="20"/>
        </w:rPr>
        <w:t xml:space="preserve"> for 5-14</w:t>
      </w:r>
      <w:r w:rsidRPr="001F0955">
        <w:rPr>
          <w:rFonts w:ascii="Times New Roman" w:hAnsi="Times New Roman"/>
          <w:sz w:val="20"/>
          <w:szCs w:val="20"/>
        </w:rPr>
        <w:t xml:space="preserve"> year olds</w:t>
      </w:r>
      <w:r w:rsidR="00466330">
        <w:rPr>
          <w:rFonts w:ascii="Times New Roman" w:hAnsi="Times New Roman"/>
          <w:sz w:val="20"/>
          <w:szCs w:val="20"/>
        </w:rPr>
        <w:t xml:space="preserve"> and </w:t>
      </w:r>
      <m:oMath>
        <m:sSub>
          <m:sSubPr>
            <m:ctrlPr>
              <w:rPr>
                <w:rFonts w:ascii="Cambria Math" w:hAnsi="Cambria Math"/>
                <w:b/>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0,j</m:t>
            </m:r>
          </m:sub>
        </m:sSub>
        <m:r>
          <m:rPr>
            <m:sty m:val="bi"/>
          </m:rPr>
          <w:rPr>
            <w:rFonts w:ascii="Cambria Math" w:hAnsi="Cambria Math"/>
            <w:sz w:val="20"/>
            <w:szCs w:val="20"/>
          </w:rPr>
          <m:t xml:space="preserve">~ </m:t>
        </m:r>
        <m:r>
          <m:rPr>
            <m:nor/>
          </m:rPr>
          <w:rPr>
            <w:rFonts w:ascii="Times New Roman" w:hAnsi="Times New Roman"/>
            <w:b/>
            <w:sz w:val="20"/>
            <w:szCs w:val="20"/>
          </w:rPr>
          <m:t>MVN</m:t>
        </m:r>
        <m:r>
          <m:rPr>
            <m:sty m:val="bi"/>
          </m:rPr>
          <w:rPr>
            <w:rFonts w:ascii="Cambria Math" w:hAnsi="Cambria Math"/>
            <w:sz w:val="20"/>
            <w:szCs w:val="20"/>
          </w:rPr>
          <m:t>(0, Σ)</m:t>
        </m:r>
      </m:oMath>
      <w:r w:rsidR="00466330" w:rsidRPr="001F0955">
        <w:rPr>
          <w:rFonts w:ascii="Times New Roman" w:hAnsi="Times New Roman"/>
          <w:sz w:val="20"/>
          <w:szCs w:val="20"/>
        </w:rPr>
        <w:t xml:space="preserve"> </w:t>
      </w:r>
      <w:r w:rsidR="00466330">
        <w:rPr>
          <w:rFonts w:ascii="Times New Roman" w:hAnsi="Times New Roman"/>
          <w:sz w:val="20"/>
          <w:szCs w:val="20"/>
        </w:rPr>
        <w:t xml:space="preserve">where </w:t>
      </w:r>
      <m:oMath>
        <m:r>
          <m:rPr>
            <m:sty m:val="bi"/>
          </m:rPr>
          <w:rPr>
            <w:rFonts w:ascii="Cambria Math" w:hAnsi="Cambria Math"/>
            <w:sz w:val="20"/>
            <w:szCs w:val="20"/>
          </w:rPr>
          <m:t>Σ</m:t>
        </m:r>
      </m:oMath>
      <w:r w:rsidR="00466330">
        <w:rPr>
          <w:rFonts w:ascii="Times New Roman" w:hAnsi="Times New Roman"/>
          <w:sz w:val="20"/>
          <w:szCs w:val="20"/>
        </w:rPr>
        <w:t xml:space="preserve"> has a vague prior distribution described by an inverse Wishart distribution parameterized by a 4x4 identity matrix and 5 degrees of freedom</w:t>
      </w:r>
      <w:r>
        <w:rPr>
          <w:rFonts w:ascii="Times New Roman" w:hAnsi="Times New Roman"/>
          <w:sz w:val="20"/>
          <w:szCs w:val="20"/>
        </w:rPr>
        <w:t>.</w:t>
      </w:r>
    </w:p>
    <w:p w14:paraId="1610A506" w14:textId="77777777" w:rsidR="00191051" w:rsidRPr="001057CB" w:rsidRDefault="00191051" w:rsidP="003159E3">
      <w:pPr>
        <w:spacing w:line="480" w:lineRule="auto"/>
        <w:rPr>
          <w:rFonts w:ascii="Times New Roman" w:hAnsi="Times New Roman"/>
          <w:sz w:val="20"/>
          <w:szCs w:val="20"/>
        </w:rPr>
      </w:pPr>
    </w:p>
    <w:p w14:paraId="170F4AC8" w14:textId="52655BBF"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A number of studies did not report incidence according to age categories that align with the categories in our model</w:t>
      </w:r>
      <w:r w:rsidR="003D0C07" w:rsidRPr="001057CB">
        <w:rPr>
          <w:rFonts w:ascii="Times New Roman" w:hAnsi="Times New Roman"/>
          <w:sz w:val="20"/>
          <w:szCs w:val="20"/>
        </w:rPr>
        <w:t>. However,</w:t>
      </w:r>
      <w:r w:rsidRPr="001057CB">
        <w:rPr>
          <w:rFonts w:ascii="Times New Roman" w:hAnsi="Times New Roman"/>
          <w:sz w:val="20"/>
          <w:szCs w:val="20"/>
        </w:rPr>
        <w:t xml:space="preserve"> incidence of any combination of the above categories may be modeled as the sum of the rates of the respective age categories. This follows from the fact that the observed cases of a combination of age categories are</w:t>
      </w:r>
      <w:r w:rsidR="003D0C07" w:rsidRPr="001057CB">
        <w:rPr>
          <w:rFonts w:ascii="Times New Roman" w:hAnsi="Times New Roman"/>
          <w:sz w:val="20"/>
          <w:szCs w:val="20"/>
        </w:rPr>
        <w:t xml:space="preserve"> assumed to result from</w:t>
      </w:r>
      <w:r w:rsidRPr="001057CB">
        <w:rPr>
          <w:rFonts w:ascii="Times New Roman" w:hAnsi="Times New Roman"/>
          <w:sz w:val="20"/>
          <w:szCs w:val="20"/>
        </w:rPr>
        <w:t xml:space="preserve"> the combination of Poisson processes, which is equivalent to a Poisson process with a rate parameter equal to the sum of th</w:t>
      </w:r>
      <w:r w:rsidR="00422279" w:rsidRPr="001057CB">
        <w:rPr>
          <w:rFonts w:ascii="Times New Roman" w:hAnsi="Times New Roman"/>
          <w:sz w:val="20"/>
          <w:szCs w:val="20"/>
        </w:rPr>
        <w:t>e respective rate parameters</w:t>
      </w:r>
      <w:r w:rsidR="00692464" w:rsidRPr="001057CB">
        <w:rPr>
          <w:rFonts w:ascii="Times New Roman" w:hAnsi="Times New Roman"/>
          <w:sz w:val="20"/>
          <w:szCs w:val="20"/>
        </w:rPr>
        <w:t>, e.g.</w:t>
      </w:r>
      <w:r w:rsidR="00422279" w:rsidRPr="001057CB">
        <w:rPr>
          <w:rFonts w:ascii="Times New Roman" w:hAnsi="Times New Roman"/>
          <w:sz w:val="20"/>
          <w:szCs w:val="20"/>
        </w:rPr>
        <w:t xml:space="preserve">: </w:t>
      </w:r>
    </w:p>
    <w:p w14:paraId="0B51E8E6" w14:textId="77777777" w:rsidR="00535F11" w:rsidRPr="001057CB" w:rsidRDefault="00535F11" w:rsidP="003159E3">
      <w:pPr>
        <w:spacing w:line="480" w:lineRule="auto"/>
        <w:rPr>
          <w:rFonts w:ascii="Times New Roman" w:hAnsi="Times New Roman"/>
          <w:sz w:val="20"/>
          <w:szCs w:val="20"/>
        </w:rPr>
      </w:pPr>
    </w:p>
    <w:p w14:paraId="6D02A1B2" w14:textId="5C95182C" w:rsidR="00480448" w:rsidRPr="0095479E" w:rsidRDefault="00B57A7B" w:rsidP="003159E3">
      <w:pPr>
        <w:spacing w:line="480" w:lineRule="auto"/>
        <w:outlineLvl w:val="0"/>
        <w:rPr>
          <w:rFonts w:ascii="Times New Roman" w:hAnsi="Times New Roman"/>
          <w:b/>
          <w:sz w:val="20"/>
          <w:szCs w:val="20"/>
        </w:rPr>
      </w:pPr>
      <m:oMathPara>
        <m:oMath>
          <m:r>
            <m:rPr>
              <m:nor/>
            </m:rPr>
            <w:rPr>
              <w:rFonts w:ascii="Times New Roman" w:hAnsi="Times New Roman"/>
              <w:b/>
              <w:sz w:val="20"/>
              <w:szCs w:val="20"/>
            </w:rPr>
            <m:t>Incidence in children of ages &lt;5:</m:t>
          </m:r>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λ</m:t>
              </m:r>
            </m:e>
            <m:sub>
              <m:r>
                <m:rPr>
                  <m:sty m:val="bi"/>
                </m:rPr>
                <w:rPr>
                  <w:rFonts w:ascii="Cambria Math" w:hAnsi="Cambria Math"/>
                  <w:sz w:val="20"/>
                  <w:szCs w:val="20"/>
                </w:rPr>
                <m:t>1,j</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nor/>
                </m:rPr>
                <w:rPr>
                  <w:rFonts w:ascii="Times New Roman" w:hAnsi="Times New Roman"/>
                  <w:b/>
                  <w:sz w:val="20"/>
                  <w:szCs w:val="20"/>
                </w:rPr>
                <m:t>person-years</m:t>
              </m:r>
            </m:e>
            <m:sub>
              <m:r>
                <m:rPr>
                  <m:sty m:val="bi"/>
                </m:rPr>
                <w:rPr>
                  <w:rFonts w:ascii="Cambria Math" w:hAnsi="Cambria Math"/>
                  <w:sz w:val="20"/>
                  <w:szCs w:val="20"/>
                </w:rPr>
                <m:t>1,j</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λ</m:t>
              </m:r>
            </m:e>
            <m:sub>
              <m:r>
                <m:rPr>
                  <m:sty m:val="bi"/>
                </m:rPr>
                <w:rPr>
                  <w:rFonts w:ascii="Cambria Math" w:hAnsi="Cambria Math"/>
                  <w:sz w:val="20"/>
                  <w:szCs w:val="20"/>
                </w:rPr>
                <m:t>2,j</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nor/>
                </m:rPr>
                <w:rPr>
                  <w:rFonts w:ascii="Times New Roman" w:hAnsi="Times New Roman"/>
                  <w:b/>
                  <w:sz w:val="20"/>
                  <w:szCs w:val="20"/>
                </w:rPr>
                <m:t>person-years</m:t>
              </m:r>
            </m:e>
            <m:sub>
              <m:r>
                <m:rPr>
                  <m:sty m:val="bi"/>
                </m:rPr>
                <w:rPr>
                  <w:rFonts w:ascii="Cambria Math" w:hAnsi="Cambria Math"/>
                  <w:sz w:val="20"/>
                  <w:szCs w:val="20"/>
                </w:rPr>
                <m:t>2,j</m:t>
              </m:r>
            </m:sub>
          </m:sSub>
        </m:oMath>
      </m:oMathPara>
    </w:p>
    <w:p w14:paraId="7A5A0EAA" w14:textId="606070DB" w:rsidR="00422279" w:rsidRPr="001057CB" w:rsidRDefault="00422279" w:rsidP="003159E3">
      <w:pPr>
        <w:spacing w:line="480" w:lineRule="auto"/>
        <w:rPr>
          <w:rFonts w:ascii="Times New Roman" w:hAnsi="Times New Roman"/>
          <w:sz w:val="20"/>
          <w:szCs w:val="20"/>
        </w:rPr>
      </w:pPr>
    </w:p>
    <w:p w14:paraId="6BF18A43" w14:textId="77777777" w:rsidR="00AB521F" w:rsidRPr="001057CB" w:rsidRDefault="00AB521F" w:rsidP="003159E3">
      <w:pPr>
        <w:pStyle w:val="Heading2"/>
        <w:spacing w:line="480" w:lineRule="auto"/>
        <w:rPr>
          <w:rFonts w:ascii="Times New Roman" w:hAnsi="Times New Roman"/>
          <w:b/>
          <w:i/>
          <w:color w:val="auto"/>
          <w:sz w:val="20"/>
          <w:szCs w:val="20"/>
        </w:rPr>
      </w:pPr>
      <w:r w:rsidRPr="001057CB">
        <w:rPr>
          <w:rFonts w:ascii="Times New Roman" w:hAnsi="Times New Roman"/>
          <w:b/>
          <w:i/>
          <w:color w:val="auto"/>
          <w:sz w:val="20"/>
          <w:szCs w:val="20"/>
        </w:rPr>
        <w:t>M</w:t>
      </w:r>
      <w:r w:rsidR="00422279" w:rsidRPr="001057CB">
        <w:rPr>
          <w:rFonts w:ascii="Times New Roman" w:hAnsi="Times New Roman"/>
          <w:b/>
          <w:i/>
          <w:color w:val="auto"/>
          <w:sz w:val="20"/>
          <w:szCs w:val="20"/>
        </w:rPr>
        <w:t>odel of the Observation Process</w:t>
      </w:r>
    </w:p>
    <w:p w14:paraId="29E62B57" w14:textId="7D9659A8" w:rsidR="001546E9" w:rsidRDefault="006C66A2" w:rsidP="003159E3">
      <w:pPr>
        <w:spacing w:line="480" w:lineRule="auto"/>
        <w:rPr>
          <w:rFonts w:ascii="Times New Roman" w:hAnsi="Times New Roman"/>
          <w:sz w:val="20"/>
          <w:szCs w:val="20"/>
        </w:rPr>
      </w:pPr>
      <w:r w:rsidRPr="001057CB">
        <w:rPr>
          <w:rFonts w:ascii="Times New Roman" w:hAnsi="Times New Roman"/>
          <w:sz w:val="20"/>
          <w:szCs w:val="20"/>
        </w:rPr>
        <w:t>The typhoid surveillance studies</w:t>
      </w:r>
      <w:r w:rsidR="00AB521F" w:rsidRPr="001057CB">
        <w:rPr>
          <w:rFonts w:ascii="Times New Roman" w:hAnsi="Times New Roman"/>
          <w:sz w:val="20"/>
          <w:szCs w:val="20"/>
        </w:rPr>
        <w:t xml:space="preserve"> featured in our analysis</w:t>
      </w:r>
      <w:r w:rsidRPr="001057CB">
        <w:rPr>
          <w:rFonts w:ascii="Times New Roman" w:hAnsi="Times New Roman"/>
          <w:sz w:val="20"/>
          <w:szCs w:val="20"/>
        </w:rPr>
        <w:t xml:space="preserve"> did not follow a standard protocol;</w:t>
      </w:r>
      <w:r w:rsidR="00AB521F" w:rsidRPr="001057CB">
        <w:rPr>
          <w:rFonts w:ascii="Times New Roman" w:hAnsi="Times New Roman"/>
          <w:sz w:val="20"/>
          <w:szCs w:val="20"/>
        </w:rPr>
        <w:t xml:space="preserve"> </w:t>
      </w:r>
      <w:r w:rsidRPr="001057CB">
        <w:rPr>
          <w:rFonts w:ascii="Times New Roman" w:hAnsi="Times New Roman"/>
          <w:sz w:val="20"/>
          <w:szCs w:val="20"/>
        </w:rPr>
        <w:t xml:space="preserve">therefore, </w:t>
      </w:r>
      <w:r w:rsidR="00AB521F" w:rsidRPr="001057CB">
        <w:rPr>
          <w:rFonts w:ascii="Times New Roman" w:hAnsi="Times New Roman"/>
          <w:sz w:val="20"/>
          <w:szCs w:val="20"/>
        </w:rPr>
        <w:t>we adjust</w:t>
      </w:r>
      <w:r w:rsidR="00692464" w:rsidRPr="001057CB">
        <w:rPr>
          <w:rFonts w:ascii="Times New Roman" w:hAnsi="Times New Roman"/>
          <w:sz w:val="20"/>
          <w:szCs w:val="20"/>
        </w:rPr>
        <w:t>ed</w:t>
      </w:r>
      <w:r w:rsidR="00AB521F" w:rsidRPr="001057CB">
        <w:rPr>
          <w:rFonts w:ascii="Times New Roman" w:hAnsi="Times New Roman"/>
          <w:sz w:val="20"/>
          <w:szCs w:val="20"/>
        </w:rPr>
        <w:t xml:space="preserve"> for the type of surveillance that was conducted in </w:t>
      </w:r>
      <w:r w:rsidR="003D0C07" w:rsidRPr="001057CB">
        <w:rPr>
          <w:rFonts w:ascii="Times New Roman" w:hAnsi="Times New Roman"/>
          <w:sz w:val="20"/>
          <w:szCs w:val="20"/>
        </w:rPr>
        <w:t xml:space="preserve">each of the </w:t>
      </w:r>
      <w:r w:rsidR="00AB521F" w:rsidRPr="001057CB">
        <w:rPr>
          <w:rFonts w:ascii="Times New Roman" w:hAnsi="Times New Roman"/>
          <w:sz w:val="20"/>
          <w:szCs w:val="20"/>
        </w:rPr>
        <w:t>studies</w:t>
      </w:r>
      <w:r w:rsidR="001546E9">
        <w:rPr>
          <w:rFonts w:ascii="Times New Roman" w:hAnsi="Times New Roman"/>
          <w:sz w:val="20"/>
          <w:szCs w:val="20"/>
        </w:rPr>
        <w:t>, the participation rate, and the amount of blood that was collected to culture S. typhi (</w:t>
      </w:r>
      <w:r w:rsidR="008C403C">
        <w:rPr>
          <w:rFonts w:ascii="Times New Roman" w:hAnsi="Times New Roman"/>
          <w:sz w:val="20"/>
          <w:szCs w:val="20"/>
        </w:rPr>
        <w:t>Figure</w:t>
      </w:r>
      <w:r w:rsidR="001546E9">
        <w:rPr>
          <w:rFonts w:ascii="Times New Roman" w:hAnsi="Times New Roman"/>
          <w:sz w:val="20"/>
          <w:szCs w:val="20"/>
        </w:rPr>
        <w:t xml:space="preserve"> 1)</w:t>
      </w:r>
      <w:r w:rsidR="00AB521F" w:rsidRPr="001057CB">
        <w:rPr>
          <w:rFonts w:ascii="Times New Roman" w:hAnsi="Times New Roman"/>
          <w:sz w:val="20"/>
          <w:szCs w:val="20"/>
        </w:rPr>
        <w:t xml:space="preserve">. </w:t>
      </w:r>
    </w:p>
    <w:p w14:paraId="498E0705" w14:textId="77777777" w:rsidR="001546E9" w:rsidRDefault="001546E9" w:rsidP="003159E3">
      <w:pPr>
        <w:spacing w:line="480" w:lineRule="auto"/>
        <w:rPr>
          <w:rFonts w:ascii="Times New Roman" w:hAnsi="Times New Roman"/>
          <w:sz w:val="20"/>
          <w:szCs w:val="20"/>
        </w:rPr>
      </w:pPr>
    </w:p>
    <w:p w14:paraId="2C522BF2" w14:textId="29815729" w:rsidR="00AB521F" w:rsidRPr="001057CB" w:rsidRDefault="001546E9" w:rsidP="003159E3">
      <w:pPr>
        <w:spacing w:line="480" w:lineRule="auto"/>
        <w:rPr>
          <w:rFonts w:ascii="Times New Roman" w:hAnsi="Times New Roman"/>
          <w:sz w:val="20"/>
          <w:szCs w:val="20"/>
        </w:rPr>
      </w:pPr>
      <w:r w:rsidRPr="001546E9">
        <w:rPr>
          <w:rFonts w:ascii="Times New Roman" w:hAnsi="Times New Roman"/>
          <w:b/>
          <w:i/>
          <w:sz w:val="20"/>
          <w:szCs w:val="20"/>
        </w:rPr>
        <w:t>Surveillance</w:t>
      </w:r>
      <w:r>
        <w:rPr>
          <w:rFonts w:ascii="Times New Roman" w:hAnsi="Times New Roman"/>
          <w:sz w:val="20"/>
          <w:szCs w:val="20"/>
        </w:rPr>
        <w:t xml:space="preserve">. </w:t>
      </w:r>
      <w:r w:rsidR="00AB521F" w:rsidRPr="001057CB">
        <w:rPr>
          <w:rFonts w:ascii="Times New Roman" w:hAnsi="Times New Roman"/>
          <w:sz w:val="20"/>
          <w:szCs w:val="20"/>
        </w:rPr>
        <w:t xml:space="preserve">We identified three types of studies. Within population-based studies, there were active (or </w:t>
      </w:r>
      <w:r w:rsidR="006C66A2" w:rsidRPr="001057CB">
        <w:rPr>
          <w:rFonts w:ascii="Times New Roman" w:hAnsi="Times New Roman"/>
          <w:sz w:val="20"/>
          <w:szCs w:val="20"/>
        </w:rPr>
        <w:t>“</w:t>
      </w:r>
      <w:r w:rsidR="00AB521F" w:rsidRPr="001057CB">
        <w:rPr>
          <w:rFonts w:ascii="Times New Roman" w:hAnsi="Times New Roman"/>
          <w:sz w:val="20"/>
          <w:szCs w:val="20"/>
        </w:rPr>
        <w:t>augmented passive</w:t>
      </w:r>
      <w:r w:rsidR="003D0C07" w:rsidRPr="001057CB">
        <w:rPr>
          <w:rFonts w:ascii="Times New Roman" w:hAnsi="Times New Roman"/>
          <w:sz w:val="20"/>
          <w:szCs w:val="20"/>
        </w:rPr>
        <w:t xml:space="preserve">”) </w:t>
      </w:r>
      <w:r w:rsidR="006C66A2" w:rsidRPr="001057CB">
        <w:rPr>
          <w:rFonts w:ascii="Times New Roman" w:hAnsi="Times New Roman"/>
          <w:sz w:val="20"/>
          <w:szCs w:val="20"/>
        </w:rPr>
        <w:t xml:space="preserve">surveillance, in </w:t>
      </w:r>
      <w:r w:rsidR="00EF3CC7" w:rsidRPr="001057CB">
        <w:rPr>
          <w:rFonts w:ascii="Times New Roman" w:hAnsi="Times New Roman"/>
          <w:sz w:val="20"/>
          <w:szCs w:val="20"/>
        </w:rPr>
        <w:t xml:space="preserve">which </w:t>
      </w:r>
      <w:r w:rsidR="005A3D89" w:rsidRPr="001057CB">
        <w:rPr>
          <w:rFonts w:ascii="Times New Roman" w:hAnsi="Times New Roman"/>
          <w:sz w:val="20"/>
          <w:szCs w:val="20"/>
        </w:rPr>
        <w:t>passive surveillance at a health center was augmented by weekly or biweekly visits to household</w:t>
      </w:r>
      <w:r w:rsidR="003D0C07" w:rsidRPr="001057CB">
        <w:rPr>
          <w:rFonts w:ascii="Times New Roman" w:hAnsi="Times New Roman"/>
          <w:sz w:val="20"/>
          <w:szCs w:val="20"/>
        </w:rPr>
        <w:t>s</w:t>
      </w:r>
      <w:r w:rsidR="00EF3CC7" w:rsidRPr="001057CB">
        <w:rPr>
          <w:rFonts w:ascii="Times New Roman" w:hAnsi="Times New Roman"/>
          <w:sz w:val="20"/>
          <w:szCs w:val="20"/>
        </w:rPr>
        <w:t xml:space="preserve"> to </w:t>
      </w:r>
      <w:r w:rsidR="00A60B1C">
        <w:rPr>
          <w:rFonts w:ascii="Times New Roman" w:hAnsi="Times New Roman"/>
          <w:sz w:val="20"/>
          <w:szCs w:val="20"/>
        </w:rPr>
        <w:t xml:space="preserve">ask about febrile illness and </w:t>
      </w:r>
      <w:r w:rsidR="00EF3CC7" w:rsidRPr="001057CB">
        <w:rPr>
          <w:rFonts w:ascii="Times New Roman" w:hAnsi="Times New Roman"/>
          <w:sz w:val="20"/>
          <w:szCs w:val="20"/>
        </w:rPr>
        <w:t>encourage study participation</w:t>
      </w:r>
      <w:r w:rsidR="003D0C07" w:rsidRPr="001057CB">
        <w:rPr>
          <w:rFonts w:ascii="Times New Roman" w:hAnsi="Times New Roman"/>
          <w:sz w:val="20"/>
          <w:szCs w:val="20"/>
        </w:rPr>
        <w:t xml:space="preserve">; </w:t>
      </w:r>
      <w:r w:rsidR="005A3D89" w:rsidRPr="001057CB">
        <w:rPr>
          <w:rFonts w:ascii="Times New Roman" w:hAnsi="Times New Roman"/>
          <w:sz w:val="20"/>
          <w:szCs w:val="20"/>
        </w:rPr>
        <w:t xml:space="preserve">and there were </w:t>
      </w:r>
      <w:r w:rsidR="00AB521F" w:rsidRPr="001057CB">
        <w:rPr>
          <w:rFonts w:ascii="Times New Roman" w:hAnsi="Times New Roman"/>
          <w:sz w:val="20"/>
          <w:szCs w:val="20"/>
        </w:rPr>
        <w:t>passive surveillance studies</w:t>
      </w:r>
      <w:r w:rsidR="006C66A2" w:rsidRPr="001057CB">
        <w:rPr>
          <w:rFonts w:ascii="Times New Roman" w:hAnsi="Times New Roman"/>
          <w:sz w:val="20"/>
          <w:szCs w:val="20"/>
        </w:rPr>
        <w:t>, in which</w:t>
      </w:r>
      <w:r w:rsidR="005A3D89" w:rsidRPr="001057CB">
        <w:rPr>
          <w:rFonts w:ascii="Times New Roman" w:hAnsi="Times New Roman"/>
          <w:sz w:val="20"/>
          <w:szCs w:val="20"/>
        </w:rPr>
        <w:t xml:space="preserve"> the catchment population was enumerated, </w:t>
      </w:r>
      <w:r>
        <w:rPr>
          <w:rFonts w:ascii="Times New Roman" w:hAnsi="Times New Roman"/>
          <w:sz w:val="20"/>
          <w:szCs w:val="20"/>
        </w:rPr>
        <w:t>and</w:t>
      </w:r>
      <w:r w:rsidR="005A3D89" w:rsidRPr="001057CB">
        <w:rPr>
          <w:rFonts w:ascii="Times New Roman" w:hAnsi="Times New Roman"/>
          <w:sz w:val="20"/>
          <w:szCs w:val="20"/>
        </w:rPr>
        <w:t xml:space="preserve"> surveillance was only done at one </w:t>
      </w:r>
      <w:r w:rsidR="003D0C07" w:rsidRPr="001057CB">
        <w:rPr>
          <w:rFonts w:ascii="Times New Roman" w:hAnsi="Times New Roman"/>
          <w:sz w:val="20"/>
          <w:szCs w:val="20"/>
        </w:rPr>
        <w:t xml:space="preserve">or </w:t>
      </w:r>
      <w:r w:rsidR="005A3D89" w:rsidRPr="001057CB">
        <w:rPr>
          <w:rFonts w:ascii="Times New Roman" w:hAnsi="Times New Roman"/>
          <w:sz w:val="20"/>
          <w:szCs w:val="20"/>
        </w:rPr>
        <w:t>more health centers</w:t>
      </w:r>
      <w:r w:rsidR="00692464" w:rsidRPr="001057CB">
        <w:rPr>
          <w:rFonts w:ascii="Times New Roman" w:hAnsi="Times New Roman"/>
          <w:sz w:val="20"/>
          <w:szCs w:val="20"/>
        </w:rPr>
        <w:t xml:space="preserve"> serving that population</w:t>
      </w:r>
      <w:r w:rsidR="005A3D89" w:rsidRPr="001057CB">
        <w:rPr>
          <w:rFonts w:ascii="Times New Roman" w:hAnsi="Times New Roman"/>
          <w:sz w:val="20"/>
          <w:szCs w:val="20"/>
        </w:rPr>
        <w:t xml:space="preserve">. </w:t>
      </w:r>
      <w:r w:rsidR="00AB521F" w:rsidRPr="001057CB">
        <w:rPr>
          <w:rFonts w:ascii="Times New Roman" w:hAnsi="Times New Roman"/>
          <w:sz w:val="20"/>
          <w:szCs w:val="20"/>
        </w:rPr>
        <w:t xml:space="preserve">A third type of study was </w:t>
      </w:r>
      <w:r w:rsidR="00AB521F" w:rsidRPr="001057CB">
        <w:rPr>
          <w:rFonts w:ascii="Times New Roman" w:hAnsi="Times New Roman"/>
          <w:sz w:val="20"/>
          <w:szCs w:val="20"/>
        </w:rPr>
        <w:lastRenderedPageBreak/>
        <w:t>identified as hospital-based passive surveillance</w:t>
      </w:r>
      <w:r w:rsidR="006C66A2" w:rsidRPr="001057CB">
        <w:rPr>
          <w:rFonts w:ascii="Times New Roman" w:hAnsi="Times New Roman"/>
          <w:sz w:val="20"/>
          <w:szCs w:val="20"/>
        </w:rPr>
        <w:t>, in which</w:t>
      </w:r>
      <w:r w:rsidR="005A3D89" w:rsidRPr="001057CB">
        <w:rPr>
          <w:rFonts w:ascii="Times New Roman" w:hAnsi="Times New Roman"/>
          <w:sz w:val="20"/>
          <w:szCs w:val="20"/>
        </w:rPr>
        <w:t xml:space="preserve"> the population</w:t>
      </w:r>
      <w:r w:rsidR="003D0C07" w:rsidRPr="001057CB">
        <w:rPr>
          <w:rFonts w:ascii="Times New Roman" w:hAnsi="Times New Roman"/>
          <w:sz w:val="20"/>
          <w:szCs w:val="20"/>
        </w:rPr>
        <w:t xml:space="preserve"> under surveillance</w:t>
      </w:r>
      <w:r w:rsidR="005A3D89" w:rsidRPr="001057CB">
        <w:rPr>
          <w:rFonts w:ascii="Times New Roman" w:hAnsi="Times New Roman"/>
          <w:sz w:val="20"/>
          <w:szCs w:val="20"/>
        </w:rPr>
        <w:t xml:space="preserve"> was not enumerated, but there was </w:t>
      </w:r>
      <w:r w:rsidR="00BE7928" w:rsidRPr="001057CB">
        <w:rPr>
          <w:rFonts w:ascii="Times New Roman" w:hAnsi="Times New Roman"/>
          <w:sz w:val="20"/>
          <w:szCs w:val="20"/>
        </w:rPr>
        <w:t>an indication that most cases</w:t>
      </w:r>
      <w:r w:rsidR="00692464" w:rsidRPr="001057CB">
        <w:rPr>
          <w:rFonts w:ascii="Times New Roman" w:hAnsi="Times New Roman"/>
          <w:sz w:val="20"/>
          <w:szCs w:val="20"/>
        </w:rPr>
        <w:t xml:space="preserve"> diagnosed at the study health center(s)</w:t>
      </w:r>
      <w:r w:rsidR="00BE7928" w:rsidRPr="001057CB">
        <w:rPr>
          <w:rFonts w:ascii="Times New Roman" w:hAnsi="Times New Roman"/>
          <w:sz w:val="20"/>
          <w:szCs w:val="20"/>
        </w:rPr>
        <w:t xml:space="preserve"> came from the local </w:t>
      </w:r>
      <w:r w:rsidR="003D0C07" w:rsidRPr="001057CB">
        <w:rPr>
          <w:rFonts w:ascii="Times New Roman" w:hAnsi="Times New Roman"/>
          <w:sz w:val="20"/>
          <w:szCs w:val="20"/>
        </w:rPr>
        <w:t xml:space="preserve">catchment </w:t>
      </w:r>
      <w:r w:rsidR="00BE7928" w:rsidRPr="001057CB">
        <w:rPr>
          <w:rFonts w:ascii="Times New Roman" w:hAnsi="Times New Roman"/>
          <w:sz w:val="20"/>
          <w:szCs w:val="20"/>
        </w:rPr>
        <w:t>population and that most cases in that population would attend the study health center</w:t>
      </w:r>
      <w:r w:rsidR="00692464" w:rsidRPr="001057CB">
        <w:rPr>
          <w:rFonts w:ascii="Times New Roman" w:hAnsi="Times New Roman"/>
          <w:sz w:val="20"/>
          <w:szCs w:val="20"/>
        </w:rPr>
        <w:t>(s)</w:t>
      </w:r>
      <w:r w:rsidR="00BE7928" w:rsidRPr="001057CB">
        <w:rPr>
          <w:rFonts w:ascii="Times New Roman" w:hAnsi="Times New Roman"/>
          <w:sz w:val="20"/>
          <w:szCs w:val="20"/>
        </w:rPr>
        <w:t xml:space="preserve">. </w:t>
      </w:r>
      <w:r w:rsidR="00692464" w:rsidRPr="001057CB">
        <w:rPr>
          <w:rFonts w:ascii="Times New Roman" w:hAnsi="Times New Roman"/>
          <w:sz w:val="20"/>
          <w:szCs w:val="20"/>
        </w:rPr>
        <w:t>P</w:t>
      </w:r>
      <w:r w:rsidR="00AB521F" w:rsidRPr="001057CB">
        <w:rPr>
          <w:rFonts w:ascii="Times New Roman" w:hAnsi="Times New Roman"/>
          <w:sz w:val="20"/>
          <w:szCs w:val="20"/>
        </w:rPr>
        <w:t xml:space="preserve">reliminary analysis showed that there were </w:t>
      </w:r>
      <w:r>
        <w:rPr>
          <w:rFonts w:ascii="Times New Roman" w:hAnsi="Times New Roman"/>
          <w:sz w:val="20"/>
          <w:szCs w:val="20"/>
        </w:rPr>
        <w:t>in</w:t>
      </w:r>
      <w:r w:rsidR="00AB521F" w:rsidRPr="001057CB">
        <w:rPr>
          <w:rFonts w:ascii="Times New Roman" w:hAnsi="Times New Roman"/>
          <w:sz w:val="20"/>
          <w:szCs w:val="20"/>
        </w:rPr>
        <w:t xml:space="preserve">sufficient </w:t>
      </w:r>
      <w:r w:rsidR="006C66A2" w:rsidRPr="001057CB">
        <w:rPr>
          <w:rFonts w:ascii="Times New Roman" w:hAnsi="Times New Roman"/>
          <w:sz w:val="20"/>
          <w:szCs w:val="20"/>
        </w:rPr>
        <w:t xml:space="preserve">data </w:t>
      </w:r>
      <w:r w:rsidR="00AB521F" w:rsidRPr="001057CB">
        <w:rPr>
          <w:rFonts w:ascii="Times New Roman" w:hAnsi="Times New Roman"/>
          <w:sz w:val="20"/>
          <w:szCs w:val="20"/>
        </w:rPr>
        <w:t xml:space="preserve">to estimate </w:t>
      </w:r>
      <w:r w:rsidR="006C66A2" w:rsidRPr="001057CB">
        <w:rPr>
          <w:rFonts w:ascii="Times New Roman" w:hAnsi="Times New Roman"/>
          <w:sz w:val="20"/>
          <w:szCs w:val="20"/>
        </w:rPr>
        <w:t xml:space="preserve">a </w:t>
      </w:r>
      <w:r w:rsidR="00AB521F" w:rsidRPr="001057CB">
        <w:rPr>
          <w:rFonts w:ascii="Times New Roman" w:hAnsi="Times New Roman"/>
          <w:sz w:val="20"/>
          <w:szCs w:val="20"/>
        </w:rPr>
        <w:t xml:space="preserve">difference in case ascertainment between passive population-based and hospital-based surveillance, and therefore we estimated </w:t>
      </w:r>
      <w:r w:rsidR="003D0C07" w:rsidRPr="001057CB">
        <w:rPr>
          <w:rFonts w:ascii="Times New Roman" w:hAnsi="Times New Roman"/>
          <w:sz w:val="20"/>
          <w:szCs w:val="20"/>
        </w:rPr>
        <w:t xml:space="preserve">only </w:t>
      </w:r>
      <w:r w:rsidR="00AB521F" w:rsidRPr="001057CB">
        <w:rPr>
          <w:rFonts w:ascii="Times New Roman" w:hAnsi="Times New Roman"/>
          <w:sz w:val="20"/>
          <w:szCs w:val="20"/>
        </w:rPr>
        <w:t xml:space="preserve">one parameter to adjust for the differences observed </w:t>
      </w:r>
      <w:r w:rsidR="003D0C07" w:rsidRPr="001057CB">
        <w:rPr>
          <w:rFonts w:ascii="Times New Roman" w:hAnsi="Times New Roman"/>
          <w:sz w:val="20"/>
          <w:szCs w:val="20"/>
        </w:rPr>
        <w:t xml:space="preserve">between </w:t>
      </w:r>
      <w:r w:rsidR="00AB521F" w:rsidRPr="001057CB">
        <w:rPr>
          <w:rFonts w:ascii="Times New Roman" w:hAnsi="Times New Roman"/>
          <w:sz w:val="20"/>
          <w:szCs w:val="20"/>
        </w:rPr>
        <w:t xml:space="preserve">passive or hospital-based surveillance </w:t>
      </w:r>
      <w:r w:rsidR="006C66A2" w:rsidRPr="001057CB">
        <w:rPr>
          <w:rFonts w:ascii="Times New Roman" w:hAnsi="Times New Roman"/>
          <w:sz w:val="20"/>
          <w:szCs w:val="20"/>
        </w:rPr>
        <w:t xml:space="preserve">versus </w:t>
      </w:r>
      <w:r w:rsidR="00AB521F" w:rsidRPr="001057CB">
        <w:rPr>
          <w:rFonts w:ascii="Times New Roman" w:hAnsi="Times New Roman"/>
          <w:sz w:val="20"/>
          <w:szCs w:val="20"/>
        </w:rPr>
        <w:t>active or augmented passive</w:t>
      </w:r>
      <w:r w:rsidR="006C66A2" w:rsidRPr="001057CB">
        <w:rPr>
          <w:rFonts w:ascii="Times New Roman" w:hAnsi="Times New Roman"/>
          <w:sz w:val="20"/>
          <w:szCs w:val="20"/>
        </w:rPr>
        <w:t xml:space="preserve"> surveillance</w:t>
      </w:r>
      <w:r w:rsidR="00AB521F" w:rsidRPr="001057CB">
        <w:rPr>
          <w:rFonts w:ascii="Times New Roman" w:hAnsi="Times New Roman"/>
          <w:sz w:val="20"/>
          <w:szCs w:val="20"/>
        </w:rPr>
        <w:t xml:space="preserve"> studies.</w:t>
      </w:r>
    </w:p>
    <w:p w14:paraId="7B56652D" w14:textId="7B91899C" w:rsidR="00EF3CC7" w:rsidRPr="001057CB" w:rsidRDefault="00EF3CC7" w:rsidP="003159E3">
      <w:pPr>
        <w:spacing w:line="480" w:lineRule="auto"/>
        <w:rPr>
          <w:rFonts w:ascii="Times New Roman" w:hAnsi="Times New Roman"/>
          <w:sz w:val="20"/>
          <w:szCs w:val="20"/>
        </w:rPr>
      </w:pPr>
    </w:p>
    <w:p w14:paraId="3C745BD8" w14:textId="50EA6D9D" w:rsidR="00EF3CC7" w:rsidRPr="0095479E" w:rsidRDefault="00B57A7B" w:rsidP="003159E3">
      <w:pPr>
        <w:spacing w:line="480" w:lineRule="auto"/>
        <w:rPr>
          <w:rFonts w:ascii="Times New Roman" w:hAnsi="Times New Roman"/>
          <w:b/>
          <w:sz w:val="20"/>
          <w:szCs w:val="20"/>
        </w:rPr>
      </w:pPr>
      <m:oMathPara>
        <m:oMath>
          <m:r>
            <m:rPr>
              <m:nor/>
            </m:rPr>
            <w:rPr>
              <w:rFonts w:ascii="Times New Roman" w:hAnsi="Times New Roman"/>
              <w:b/>
              <w:sz w:val="20"/>
              <w:szCs w:val="20"/>
            </w:rPr>
            <m:t>Cases detected by surveillance</m:t>
          </m:r>
          <m:r>
            <m:rPr>
              <m:sty m:val="bi"/>
            </m:rPr>
            <w:rPr>
              <w:rFonts w:ascii="Cambria Math" w:hAnsi="Cambria Math"/>
              <w:sz w:val="20"/>
              <w:szCs w:val="20"/>
            </w:rPr>
            <m:t>∼</m:t>
          </m:r>
          <m:r>
            <m:rPr>
              <m:nor/>
            </m:rPr>
            <w:rPr>
              <w:rFonts w:ascii="Times New Roman" w:hAnsi="Times New Roman"/>
              <w:b/>
              <w:sz w:val="20"/>
              <w:szCs w:val="20"/>
            </w:rPr>
            <m:t>Binomial</m:t>
          </m:r>
          <m:r>
            <m:rPr>
              <m:sty m:val="bi"/>
            </m:rPr>
            <w:rPr>
              <w:rFonts w:ascii="Cambria Math" w:hAnsi="Cambria Math"/>
              <w:sz w:val="20"/>
              <w:szCs w:val="20"/>
            </w:rPr>
            <m:t>(</m:t>
          </m:r>
          <m:r>
            <m:rPr>
              <m:nor/>
            </m:rPr>
            <w:rPr>
              <w:rFonts w:ascii="Times New Roman" w:hAnsi="Times New Roman"/>
              <w:b/>
              <w:sz w:val="20"/>
              <w:szCs w:val="20"/>
            </w:rPr>
            <m:t>Actual Cases</m:t>
          </m:r>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ϕ</m:t>
              </m:r>
            </m:e>
            <m:sub>
              <m:r>
                <m:rPr>
                  <m:sty m:val="bi"/>
                </m:rPr>
                <w:rPr>
                  <w:rFonts w:ascii="Cambria Math" w:hAnsi="Cambria Math"/>
                  <w:sz w:val="20"/>
                  <w:szCs w:val="20"/>
                </w:rPr>
                <m:t>s</m:t>
              </m:r>
            </m:sub>
          </m:sSub>
          <m:r>
            <m:rPr>
              <m:sty m:val="bi"/>
            </m:rPr>
            <w:rPr>
              <w:rFonts w:ascii="Cambria Math" w:hAnsi="Cambria Math"/>
              <w:sz w:val="20"/>
              <w:szCs w:val="20"/>
            </w:rPr>
            <m:t>)</m:t>
          </m:r>
        </m:oMath>
      </m:oMathPara>
    </w:p>
    <w:p w14:paraId="414AF825" w14:textId="5102B344" w:rsidR="00EF3CC7" w:rsidRPr="0095479E" w:rsidRDefault="00916BD1" w:rsidP="003159E3">
      <w:pPr>
        <w:spacing w:line="480" w:lineRule="auto"/>
        <w:rPr>
          <w:rFonts w:ascii="Times New Roman" w:hAnsi="Times New Roman"/>
          <w:b/>
          <w:noProof/>
          <w:sz w:val="20"/>
          <w:szCs w:val="20"/>
        </w:rPr>
      </w:pPr>
      <m:oMathPara>
        <m:oMath>
          <m:sSub>
            <m:sSubPr>
              <m:ctrlPr>
                <w:rPr>
                  <w:rFonts w:ascii="Cambria Math" w:hAnsi="Cambria Math"/>
                  <w:b/>
                  <w:i/>
                  <w:noProof/>
                  <w:sz w:val="20"/>
                  <w:szCs w:val="20"/>
                </w:rPr>
              </m:ctrlPr>
            </m:sSubPr>
            <m:e>
              <m:r>
                <m:rPr>
                  <m:sty m:val="bi"/>
                </m:rPr>
                <w:rPr>
                  <w:rFonts w:ascii="Cambria Math" w:hAnsi="Cambria Math"/>
                  <w:noProof/>
                  <w:sz w:val="20"/>
                  <w:szCs w:val="20"/>
                </w:rPr>
                <m:t>ϕ</m:t>
              </m:r>
            </m:e>
            <m:sub>
              <m:r>
                <m:rPr>
                  <m:sty m:val="bi"/>
                </m:rPr>
                <w:rPr>
                  <w:rFonts w:ascii="Cambria Math" w:hAnsi="Cambria Math"/>
                  <w:noProof/>
                  <w:sz w:val="20"/>
                  <w:szCs w:val="20"/>
                </w:rPr>
                <m:t>s</m:t>
              </m:r>
            </m:sub>
          </m:sSub>
          <m:r>
            <m:rPr>
              <m:sty m:val="bi"/>
            </m:rPr>
            <w:rPr>
              <w:rFonts w:ascii="Cambria Math" w:hAnsi="Cambria Math"/>
              <w:noProof/>
              <w:sz w:val="20"/>
              <w:szCs w:val="20"/>
            </w:rPr>
            <m:t>=</m:t>
          </m:r>
          <m:d>
            <m:dPr>
              <m:begChr m:val="{"/>
              <m:endChr m:val=""/>
              <m:ctrlPr>
                <w:rPr>
                  <w:rFonts w:ascii="Cambria Math" w:hAnsi="Cambria Math"/>
                  <w:b/>
                  <w:i/>
                  <w:noProof/>
                  <w:sz w:val="20"/>
                  <w:szCs w:val="20"/>
                </w:rPr>
              </m:ctrlPr>
            </m:dPr>
            <m:e>
              <m:m>
                <m:mPr>
                  <m:mcs>
                    <m:mc>
                      <m:mcPr>
                        <m:count m:val="1"/>
                        <m:mcJc m:val="center"/>
                      </m:mcPr>
                    </m:mc>
                  </m:mcs>
                  <m:ctrlPr>
                    <w:rPr>
                      <w:rFonts w:ascii="Cambria Math" w:hAnsi="Cambria Math"/>
                      <w:b/>
                      <w:i/>
                      <w:noProof/>
                      <w:sz w:val="20"/>
                      <w:szCs w:val="20"/>
                    </w:rPr>
                  </m:ctrlPr>
                </m:mPr>
                <m:mr>
                  <m:e>
                    <m:r>
                      <m:rPr>
                        <m:nor/>
                      </m:rPr>
                      <w:rPr>
                        <w:rFonts w:ascii="Times New Roman" w:hAnsi="Times New Roman"/>
                        <w:b/>
                        <w:noProof/>
                        <w:sz w:val="20"/>
                        <w:szCs w:val="20"/>
                      </w:rPr>
                      <m:t>~Beta</m:t>
                    </m:r>
                    <m:d>
                      <m:dPr>
                        <m:ctrlPr>
                          <w:rPr>
                            <w:rFonts w:ascii="Cambria Math" w:hAnsi="Cambria Math"/>
                            <w:b/>
                            <w:i/>
                            <w:noProof/>
                            <w:sz w:val="20"/>
                            <w:szCs w:val="20"/>
                          </w:rPr>
                        </m:ctrlPr>
                      </m:dPr>
                      <m:e>
                        <m:r>
                          <m:rPr>
                            <m:sty m:val="bi"/>
                          </m:rPr>
                          <w:rPr>
                            <w:rFonts w:ascii="Cambria Math" w:hAnsi="Cambria Math"/>
                            <w:noProof/>
                            <w:sz w:val="20"/>
                            <w:szCs w:val="20"/>
                          </w:rPr>
                          <m:t>1,1</m:t>
                        </m:r>
                      </m:e>
                    </m:d>
                    <m:r>
                      <m:rPr>
                        <m:nor/>
                      </m:rPr>
                      <w:rPr>
                        <w:rFonts w:ascii="Times New Roman" w:hAnsi="Times New Roman"/>
                        <w:b/>
                        <w:noProof/>
                        <w:sz w:val="20"/>
                        <w:szCs w:val="20"/>
                      </w:rPr>
                      <m:t xml:space="preserve"> for passive surveillance</m:t>
                    </m:r>
                  </m:e>
                </m:mr>
                <m:mr>
                  <m:e>
                    <m:r>
                      <m:rPr>
                        <m:sty m:val="bi"/>
                      </m:rPr>
                      <w:rPr>
                        <w:rFonts w:ascii="Cambria Math" w:hAnsi="Cambria Math"/>
                        <w:noProof/>
                        <w:sz w:val="20"/>
                        <w:szCs w:val="20"/>
                      </w:rPr>
                      <m:t>=1</m:t>
                    </m:r>
                    <m:r>
                      <m:rPr>
                        <m:nor/>
                      </m:rPr>
                      <w:rPr>
                        <w:rFonts w:ascii="Times New Roman" w:hAnsi="Times New Roman"/>
                        <w:b/>
                        <w:noProof/>
                        <w:sz w:val="20"/>
                        <w:szCs w:val="20"/>
                      </w:rPr>
                      <m:t xml:space="preserve"> for active surveillance</m:t>
                    </m:r>
                  </m:e>
                </m:mr>
              </m:m>
            </m:e>
          </m:d>
        </m:oMath>
      </m:oMathPara>
    </w:p>
    <w:p w14:paraId="7DBEB7ED" w14:textId="5AF8A772" w:rsidR="00B95001" w:rsidRPr="001057CB" w:rsidRDefault="00B95001" w:rsidP="003159E3">
      <w:pPr>
        <w:spacing w:line="480" w:lineRule="auto"/>
        <w:rPr>
          <w:rFonts w:ascii="Times New Roman" w:hAnsi="Times New Roman"/>
          <w:sz w:val="20"/>
          <w:szCs w:val="20"/>
        </w:rPr>
      </w:pPr>
    </w:p>
    <w:p w14:paraId="14C3C8C5" w14:textId="64AD8A7B" w:rsidR="006C66A2" w:rsidRPr="001057CB" w:rsidRDefault="006C66A2" w:rsidP="003159E3">
      <w:pPr>
        <w:spacing w:line="480" w:lineRule="auto"/>
        <w:rPr>
          <w:rFonts w:ascii="Times New Roman" w:hAnsi="Times New Roman"/>
          <w:sz w:val="20"/>
          <w:szCs w:val="20"/>
        </w:rPr>
      </w:pPr>
      <w:r w:rsidRPr="001057CB">
        <w:rPr>
          <w:rFonts w:ascii="Times New Roman" w:hAnsi="Times New Roman"/>
          <w:sz w:val="20"/>
          <w:szCs w:val="20"/>
        </w:rPr>
        <w:t xml:space="preserve">We estimated a </w:t>
      </w:r>
      <w:r w:rsidR="005E73C3" w:rsidRPr="001057CB">
        <w:rPr>
          <w:rFonts w:ascii="Times New Roman" w:hAnsi="Times New Roman"/>
          <w:sz w:val="20"/>
          <w:szCs w:val="20"/>
        </w:rPr>
        <w:t xml:space="preserve">single parameter </w:t>
      </w:r>
      <w:r w:rsidR="00EF3CC7" w:rsidRPr="0095479E">
        <w:rPr>
          <w:rFonts w:ascii="Times New Roman" w:hAnsi="Times New Roman"/>
          <w:b/>
          <w:i/>
          <w:sz w:val="20"/>
          <w:szCs w:val="20"/>
        </w:rPr>
        <w:t>ϕ</w:t>
      </w:r>
      <w:r w:rsidR="003D0C07" w:rsidRPr="0095479E">
        <w:rPr>
          <w:rFonts w:ascii="Times New Roman" w:hAnsi="Times New Roman"/>
          <w:b/>
          <w:i/>
          <w:sz w:val="20"/>
          <w:szCs w:val="20"/>
          <w:vertAlign w:val="subscript"/>
        </w:rPr>
        <w:t>s</w:t>
      </w:r>
      <w:r w:rsidR="00EF3CC7" w:rsidRPr="0095479E" w:rsidDel="00EF3CC7">
        <w:rPr>
          <w:rFonts w:ascii="Times New Roman" w:hAnsi="Times New Roman"/>
          <w:b/>
          <w:sz w:val="20"/>
          <w:szCs w:val="20"/>
        </w:rPr>
        <w:t xml:space="preserve"> </w:t>
      </w:r>
      <w:r w:rsidR="005E73C3" w:rsidRPr="001057CB">
        <w:rPr>
          <w:rFonts w:ascii="Times New Roman" w:hAnsi="Times New Roman"/>
          <w:sz w:val="20"/>
          <w:szCs w:val="20"/>
        </w:rPr>
        <w:t xml:space="preserve">representing the average effect </w:t>
      </w:r>
      <w:r w:rsidR="00EF3CC7" w:rsidRPr="001057CB">
        <w:rPr>
          <w:rFonts w:ascii="Times New Roman" w:hAnsi="Times New Roman"/>
          <w:sz w:val="20"/>
          <w:szCs w:val="20"/>
        </w:rPr>
        <w:t xml:space="preserve">of passive surveillance (as opposed to active surveillance) </w:t>
      </w:r>
      <w:r w:rsidR="005E73C3" w:rsidRPr="001057CB">
        <w:rPr>
          <w:rFonts w:ascii="Times New Roman" w:hAnsi="Times New Roman"/>
          <w:sz w:val="20"/>
          <w:szCs w:val="20"/>
        </w:rPr>
        <w:t>across all age groups; there was not enough data to estimate age-specific differences.</w:t>
      </w:r>
    </w:p>
    <w:p w14:paraId="528133A7" w14:textId="77777777" w:rsidR="009721AB" w:rsidRPr="001057CB" w:rsidRDefault="009721AB" w:rsidP="003159E3">
      <w:pPr>
        <w:spacing w:line="480" w:lineRule="auto"/>
        <w:rPr>
          <w:rFonts w:ascii="Times New Roman" w:hAnsi="Times New Roman"/>
          <w:sz w:val="20"/>
          <w:szCs w:val="20"/>
        </w:rPr>
      </w:pPr>
    </w:p>
    <w:p w14:paraId="41A77405" w14:textId="3F67DCFA" w:rsidR="009721AB" w:rsidRPr="001057CB" w:rsidRDefault="001546E9" w:rsidP="003159E3">
      <w:pPr>
        <w:spacing w:line="480" w:lineRule="auto"/>
        <w:rPr>
          <w:rFonts w:ascii="Times New Roman" w:hAnsi="Times New Roman"/>
          <w:sz w:val="20"/>
          <w:szCs w:val="20"/>
        </w:rPr>
      </w:pPr>
      <w:r w:rsidRPr="001546E9">
        <w:rPr>
          <w:rFonts w:ascii="Times New Roman" w:hAnsi="Times New Roman"/>
          <w:b/>
          <w:i/>
          <w:sz w:val="20"/>
          <w:szCs w:val="20"/>
        </w:rPr>
        <w:t>Participation Rate</w:t>
      </w:r>
      <w:r>
        <w:rPr>
          <w:rFonts w:ascii="Times New Roman" w:hAnsi="Times New Roman"/>
          <w:sz w:val="20"/>
          <w:szCs w:val="20"/>
        </w:rPr>
        <w:t xml:space="preserve">. </w:t>
      </w:r>
      <w:r w:rsidR="009721AB" w:rsidRPr="001057CB">
        <w:rPr>
          <w:rFonts w:ascii="Times New Roman" w:hAnsi="Times New Roman"/>
          <w:sz w:val="20"/>
          <w:szCs w:val="20"/>
        </w:rPr>
        <w:t>In addition, due to operational constraints or the source populations</w:t>
      </w:r>
      <w:r w:rsidR="003D0C07" w:rsidRPr="001057CB">
        <w:rPr>
          <w:rFonts w:ascii="Times New Roman" w:hAnsi="Times New Roman"/>
          <w:sz w:val="20"/>
          <w:szCs w:val="20"/>
        </w:rPr>
        <w:t>’</w:t>
      </w:r>
      <w:r w:rsidR="009721AB" w:rsidRPr="001057CB">
        <w:rPr>
          <w:rFonts w:ascii="Times New Roman" w:hAnsi="Times New Roman"/>
          <w:sz w:val="20"/>
          <w:szCs w:val="20"/>
        </w:rPr>
        <w:t xml:space="preserve"> willingness to participate in clini</w:t>
      </w:r>
      <w:r w:rsidR="005E4C62" w:rsidRPr="001057CB">
        <w:rPr>
          <w:rFonts w:ascii="Times New Roman" w:hAnsi="Times New Roman"/>
          <w:sz w:val="20"/>
          <w:szCs w:val="20"/>
        </w:rPr>
        <w:t>cal studies,</w:t>
      </w:r>
      <w:r w:rsidR="003D0C07" w:rsidRPr="001057CB">
        <w:rPr>
          <w:rFonts w:ascii="Times New Roman" w:hAnsi="Times New Roman"/>
          <w:sz w:val="20"/>
          <w:szCs w:val="20"/>
        </w:rPr>
        <w:t xml:space="preserve"> most surveillance studies reported a “participation rate” among the source population. </w:t>
      </w:r>
      <w:r w:rsidR="00692464" w:rsidRPr="001057CB">
        <w:rPr>
          <w:rFonts w:ascii="Times New Roman" w:hAnsi="Times New Roman"/>
          <w:sz w:val="20"/>
          <w:szCs w:val="20"/>
        </w:rPr>
        <w:t>For example, it may not have been possible to perform blood cultures for all children presenting with prolonged fever in malaria-endemic study sites</w:t>
      </w:r>
      <w:r w:rsidR="000F4772">
        <w:rPr>
          <w:rFonts w:ascii="Times New Roman" w:hAnsi="Times New Roman"/>
          <w:sz w:val="20"/>
          <w:szCs w:val="20"/>
        </w:rPr>
        <w:t xml:space="preserve"> </w:t>
      </w:r>
      <w:r w:rsidR="00CA7FD1" w:rsidRPr="001057CB">
        <w:rPr>
          <w:rFonts w:ascii="Times New Roman" w:hAnsi="Times New Roman"/>
          <w:sz w:val="20"/>
          <w:szCs w:val="20"/>
        </w:rPr>
        <w:fldChar w:fldCharType="begin" w:fldLock="1"/>
      </w:r>
      <w:r w:rsidR="0031425E">
        <w:rPr>
          <w:rFonts w:ascii="Times New Roman" w:hAnsi="Times New Roman"/>
          <w:sz w:val="20"/>
          <w:szCs w:val="20"/>
        </w:rPr>
        <w:instrText>ADDIN CSL_CITATION { "citationItems" : [ { "id" : "ITEM-1", "itemData" : { "DOI" : "10.1371/journal.pone.0029119", "ISSN" : "1932-6203 (Electronic)", "PMID" : "22276105", "abstract" : "BACKGROUND: High rates of typhoid fever in children in urban settings in Asia have led to focus on childhood immunization in Asian cities, but not in Africa, where data, mostly from rural areas, have shown low disease incidence. We set out to compare incidence of typhoid fever in a densely populated urban slum and a rural community in Kenya, hypothesizing higher rates in the urban area, given crowding and suboptimal access to safe water, sanitation and hygiene. METHODS: During 2007-9, we conducted population-based surveillance in Kibera, an urban informal settlement in Nairobi, and in Lwak, a rural area in western Kenya. Participants had free access to study clinics; field workers visited their homes biweekly to collect information about acute illnesses. In clinic, blood cultures were processed from patients with fever or pneumonia. Crude and adjusted incidence rates were calculated. RESULTS: In the urban site, the overall crude incidence of Salmonella enterica serovar Typhi (S. Typhi) bacteremia was 247 cases per 100,000 person-years of observation (pyo) with highest rates in children 5-9 years old (596 per 100,000 pyo) and 2-4 years old (521 per 100,000 pyo). Crude overall incidence in Lwak was 29 cases per 100,000 pyo with low rates in children 2-4 and 5-9 years old (28 and 18 cases per 100,000 pyo, respectively). Adjusted incidence rates were highest in 2-4 year old urban children (2,243 per 100,000 pyo) which were &gt;15-fold higher than rates in the rural site for the same age group. Nearly 75% of S. Typhi isolates were multi-drug resistant. CONCLUSIONS: This systematic urban slum and rural comparison showed dramatically higher typhoid incidence among urban children &lt;10 years old with rates similar to those from Asian urban slums. The findings have potential policy implications for use of typhoid vaccines in increasingly urban Africa.", "author" : [ { "dropping-particle" : "", "family" : "Breiman", "given" : "Robert F", "non-dropping-particle" : "", "parse-names" : false, "suffix" : "" }, { "dropping-particle" : "", "family" : "Cosmas", "given" : "Leonard", "non-dropping-particle" : "", "parse-names" : false, "suffix" : "" }, { "dropping-particle" : "", "family" : "Njuguna", "given" : "Henry", "non-dropping-particle" : "", "parse-names" : false, "suffix" : "" }, { "dropping-particle" : "", "family" : "Audi", "given" : "Allan", "non-dropping-particle" : "", "parse-names" : false, "suffix" : "" }, { "dropping-particle" : "", "family" : "Olack", "given" : "Beatrice", "non-dropping-particle" : "", "parse-names" : false, "suffix" : "" }, { "dropping-particle" : "", "family" : "Ochieng", "given" : "John B", "non-dropping-particle" : "", "parse-names" : false, "suffix" : "" }, { "dropping-particle" : "", "family" : "Wamola", "given" : "Newton", "non-dropping-particle" : "", "parse-names" : false, "suffix" : "" }, { "dropping-particle" : "", "family" : "Bigogo", "given" : "Godfrey M", "non-dropping-particle" : "", "parse-names" : false, "suffix" : "" }, { "dropping-particle" : "", "family" : "Awiti", "given" : "George", "non-dropping-particle" : "", "parse-names" : false, "suffix" : "" }, { "dropping-particle" : "", "family" : "Tabu", "given" : "Collins W", "non-dropping-particle" : "", "parse-names" : false, "suffix" : "" }, { "dropping-particle" : "", "family" : "Burke", "given" : "Heather", "non-dropping-particle" : "", "parse-names" : false, "suffix" : "" }, { "dropping-particle" : "", "family" : "Williamson", "given" : "John", "non-dropping-particle" : "", "parse-names" : false, "suffix" : "" }, { "dropping-particle" : "", "family" : "Oundo", "given" : "Joseph O", "non-dropping-particle" : "", "parse-names" : false, "suffix" : "" }, { "dropping-particle" : "", "family" : "Mintz", "given" : "Eric D", "non-dropping-particle" : "", "parse-names" : false, "suffix" : "" }, { "dropping-particle" : "", "family" : "Feikin", "given" : "Daniel R", "non-dropping-particle" : "", "parse-names" : false, "suffix" : "" } ], "container-title" : "PLoS ONE", "id" : "ITEM-1", "issue" : "1", "issued" : { "date-parts" : [ [ "2012" ] ] }, "language" : "eng", "page" : "e29119", "publisher-place" : "United States", "title" : "Population-based incidence of typhoid fever in an urban informal settlement and a rural area in Kenya: implications for typhoid vaccine use in Africa.", "type" : "article-journal", "volume" : "7" }, "uris" : [ "http://www.mendeley.com/documents/?uuid=8b1f60e2-2a57-4c17-ace2-865495b2d2aa" ] } ], "mendeley" : { "formattedCitation" : "[11]", "plainTextFormattedCitation" : "[11]", "previouslyFormattedCitation" : "[11]" }, "properties" : { "noteIndex" : 0 }, "schema" : "https://github.com/citation-style-language/schema/raw/master/csl-citation.json" }</w:instrText>
      </w:r>
      <w:r w:rsidR="00CA7FD1" w:rsidRPr="001057CB">
        <w:rPr>
          <w:rFonts w:ascii="Times New Roman" w:hAnsi="Times New Roman"/>
          <w:sz w:val="20"/>
          <w:szCs w:val="20"/>
        </w:rPr>
        <w:fldChar w:fldCharType="separate"/>
      </w:r>
      <w:r w:rsidR="0031425E" w:rsidRPr="0031425E">
        <w:rPr>
          <w:rFonts w:ascii="Times New Roman" w:hAnsi="Times New Roman"/>
          <w:noProof/>
          <w:sz w:val="20"/>
          <w:szCs w:val="20"/>
        </w:rPr>
        <w:t>[11]</w:t>
      </w:r>
      <w:r w:rsidR="00CA7FD1" w:rsidRPr="001057CB">
        <w:rPr>
          <w:rFonts w:ascii="Times New Roman" w:hAnsi="Times New Roman"/>
          <w:sz w:val="20"/>
          <w:szCs w:val="20"/>
        </w:rPr>
        <w:fldChar w:fldCharType="end"/>
      </w:r>
      <w:r w:rsidR="00692464" w:rsidRPr="001057CB">
        <w:rPr>
          <w:rFonts w:ascii="Times New Roman" w:hAnsi="Times New Roman"/>
          <w:sz w:val="20"/>
          <w:szCs w:val="20"/>
        </w:rPr>
        <w:t xml:space="preserve"> </w:t>
      </w:r>
      <w:r>
        <w:rPr>
          <w:rFonts w:ascii="Times New Roman" w:hAnsi="Times New Roman"/>
          <w:sz w:val="20"/>
          <w:szCs w:val="20"/>
        </w:rPr>
        <w:t>and therefore w</w:t>
      </w:r>
      <w:r w:rsidR="003D0C07" w:rsidRPr="001057CB">
        <w:rPr>
          <w:rFonts w:ascii="Times New Roman" w:hAnsi="Times New Roman"/>
          <w:sz w:val="20"/>
          <w:szCs w:val="20"/>
        </w:rPr>
        <w:t>e modeled</w:t>
      </w:r>
      <w:r w:rsidR="005E4C62" w:rsidRPr="001057CB">
        <w:rPr>
          <w:rFonts w:ascii="Times New Roman" w:hAnsi="Times New Roman"/>
          <w:sz w:val="20"/>
          <w:szCs w:val="20"/>
        </w:rPr>
        <w:t xml:space="preserve"> the probability that </w:t>
      </w:r>
      <w:r w:rsidR="003D0C07" w:rsidRPr="001057CB">
        <w:rPr>
          <w:rFonts w:ascii="Times New Roman" w:hAnsi="Times New Roman"/>
          <w:sz w:val="20"/>
          <w:szCs w:val="20"/>
        </w:rPr>
        <w:t xml:space="preserve">a </w:t>
      </w:r>
      <w:r w:rsidR="005E4C62" w:rsidRPr="001057CB">
        <w:rPr>
          <w:rFonts w:ascii="Times New Roman" w:hAnsi="Times New Roman"/>
          <w:sz w:val="20"/>
          <w:szCs w:val="20"/>
        </w:rPr>
        <w:t xml:space="preserve">true typhoid case </w:t>
      </w:r>
      <w:r w:rsidR="003D0C07" w:rsidRPr="001057CB">
        <w:rPr>
          <w:rFonts w:ascii="Times New Roman" w:hAnsi="Times New Roman"/>
          <w:sz w:val="20"/>
          <w:szCs w:val="20"/>
        </w:rPr>
        <w:t>would</w:t>
      </w:r>
      <w:r w:rsidR="005E4C62" w:rsidRPr="001057CB">
        <w:rPr>
          <w:rFonts w:ascii="Times New Roman" w:hAnsi="Times New Roman"/>
          <w:sz w:val="20"/>
          <w:szCs w:val="20"/>
        </w:rPr>
        <w:t xml:space="preserve"> participate in the study </w:t>
      </w:r>
      <w:r w:rsidR="003D0C07" w:rsidRPr="001057CB">
        <w:rPr>
          <w:rFonts w:ascii="Times New Roman" w:hAnsi="Times New Roman"/>
          <w:sz w:val="20"/>
          <w:szCs w:val="20"/>
        </w:rPr>
        <w:t>(i.e. attend a study hospital and have blood drawn for diagnosis)</w:t>
      </w:r>
      <w:r w:rsidR="005E4C62" w:rsidRPr="001057CB">
        <w:rPr>
          <w:rFonts w:ascii="Times New Roman" w:hAnsi="Times New Roman"/>
          <w:sz w:val="20"/>
          <w:szCs w:val="20"/>
        </w:rPr>
        <w:t xml:space="preserve"> </w:t>
      </w:r>
      <w:r w:rsidR="003D0C07" w:rsidRPr="001057CB">
        <w:rPr>
          <w:rFonts w:ascii="Times New Roman" w:hAnsi="Times New Roman"/>
          <w:sz w:val="20"/>
          <w:szCs w:val="20"/>
        </w:rPr>
        <w:t>as</w:t>
      </w:r>
      <w:r w:rsidR="005E4C62" w:rsidRPr="001057CB">
        <w:rPr>
          <w:rFonts w:ascii="Times New Roman" w:hAnsi="Times New Roman"/>
          <w:sz w:val="20"/>
          <w:szCs w:val="20"/>
        </w:rPr>
        <w:t xml:space="preserve"> an additional binomial process:</w:t>
      </w:r>
    </w:p>
    <w:p w14:paraId="501AC24D" w14:textId="77777777" w:rsidR="009721AB" w:rsidRPr="001057CB" w:rsidRDefault="009721AB" w:rsidP="003159E3">
      <w:pPr>
        <w:spacing w:line="480" w:lineRule="auto"/>
        <w:rPr>
          <w:rFonts w:ascii="Times New Roman" w:hAnsi="Times New Roman"/>
          <w:sz w:val="20"/>
          <w:szCs w:val="20"/>
        </w:rPr>
      </w:pPr>
    </w:p>
    <w:p w14:paraId="763E2300" w14:textId="7BE0BBDE" w:rsidR="009721AB" w:rsidRPr="0095479E" w:rsidRDefault="00B57A7B" w:rsidP="003159E3">
      <w:pPr>
        <w:spacing w:line="480" w:lineRule="auto"/>
        <w:outlineLvl w:val="0"/>
        <w:rPr>
          <w:rFonts w:ascii="Times New Roman" w:hAnsi="Times New Roman"/>
          <w:b/>
          <w:sz w:val="20"/>
          <w:szCs w:val="20"/>
        </w:rPr>
      </w:pPr>
      <m:oMathPara>
        <m:oMath>
          <m:r>
            <m:rPr>
              <m:nor/>
            </m:rPr>
            <w:rPr>
              <w:rFonts w:ascii="Times New Roman" w:hAnsi="Times New Roman"/>
              <w:b/>
              <w:sz w:val="20"/>
              <w:szCs w:val="20"/>
            </w:rPr>
            <m:t>Cases that agreed to participate</m:t>
          </m:r>
          <m:r>
            <m:rPr>
              <m:sty m:val="bi"/>
            </m:rPr>
            <w:rPr>
              <w:rFonts w:ascii="Cambria Math" w:hAnsi="Cambria Math"/>
              <w:sz w:val="20"/>
              <w:szCs w:val="20"/>
            </w:rPr>
            <m:t>∼</m:t>
          </m:r>
          <m:r>
            <m:rPr>
              <m:nor/>
            </m:rPr>
            <w:rPr>
              <w:rFonts w:ascii="Times New Roman" w:hAnsi="Times New Roman"/>
              <w:b/>
              <w:sz w:val="20"/>
              <w:szCs w:val="20"/>
            </w:rPr>
            <m:t>Binomial</m:t>
          </m:r>
          <m:r>
            <m:rPr>
              <m:sty m:val="bi"/>
            </m:rPr>
            <w:rPr>
              <w:rFonts w:ascii="Cambria Math" w:hAnsi="Cambria Math"/>
              <w:sz w:val="20"/>
              <w:szCs w:val="20"/>
            </w:rPr>
            <m:t>(</m:t>
          </m:r>
          <m:r>
            <m:rPr>
              <m:nor/>
            </m:rPr>
            <w:rPr>
              <w:rFonts w:ascii="Times New Roman" w:hAnsi="Times New Roman"/>
              <w:b/>
              <w:sz w:val="20"/>
              <w:szCs w:val="20"/>
            </w:rPr>
            <m:t>Cases detected by surveillance</m:t>
          </m:r>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ϕ</m:t>
              </m:r>
            </m:e>
            <m:sub>
              <m:r>
                <m:rPr>
                  <m:sty m:val="bi"/>
                </m:rPr>
                <w:rPr>
                  <w:rFonts w:ascii="Cambria Math" w:hAnsi="Cambria Math"/>
                  <w:sz w:val="20"/>
                  <w:szCs w:val="20"/>
                </w:rPr>
                <m:t>p,j,a</m:t>
              </m:r>
            </m:sub>
          </m:sSub>
          <m:r>
            <m:rPr>
              <m:sty m:val="bi"/>
            </m:rPr>
            <w:rPr>
              <w:rFonts w:ascii="Cambria Math" w:hAnsi="Cambria Math"/>
              <w:sz w:val="20"/>
              <w:szCs w:val="20"/>
            </w:rPr>
            <m:t>)</m:t>
          </m:r>
        </m:oMath>
      </m:oMathPara>
    </w:p>
    <w:p w14:paraId="75099A95" w14:textId="77777777" w:rsidR="00AB521F" w:rsidRPr="001057CB" w:rsidRDefault="00AB521F" w:rsidP="003159E3">
      <w:pPr>
        <w:spacing w:line="480" w:lineRule="auto"/>
        <w:rPr>
          <w:rFonts w:ascii="Times New Roman" w:hAnsi="Times New Roman"/>
          <w:sz w:val="20"/>
          <w:szCs w:val="20"/>
        </w:rPr>
      </w:pPr>
    </w:p>
    <w:p w14:paraId="15C206CB" w14:textId="27937377" w:rsidR="003D0C07" w:rsidRPr="001057CB" w:rsidRDefault="003D0C07" w:rsidP="003159E3">
      <w:pPr>
        <w:spacing w:line="480" w:lineRule="auto"/>
        <w:rPr>
          <w:rFonts w:ascii="Times New Roman" w:hAnsi="Times New Roman"/>
          <w:sz w:val="20"/>
          <w:szCs w:val="20"/>
        </w:rPr>
      </w:pPr>
      <w:r w:rsidRPr="001057CB">
        <w:rPr>
          <w:rFonts w:ascii="Times New Roman" w:hAnsi="Times New Roman"/>
          <w:sz w:val="20"/>
          <w:szCs w:val="20"/>
        </w:rPr>
        <w:t xml:space="preserve">The “participation rate” </w:t>
      </w:r>
      <w:r w:rsidRPr="0095479E">
        <w:rPr>
          <w:rFonts w:ascii="Times New Roman" w:hAnsi="Times New Roman"/>
          <w:b/>
          <w:i/>
          <w:sz w:val="20"/>
          <w:szCs w:val="20"/>
        </w:rPr>
        <w:sym w:font="Symbol" w:char="F066"/>
      </w:r>
      <w:r w:rsidRPr="0095479E">
        <w:rPr>
          <w:rFonts w:ascii="Times New Roman" w:hAnsi="Times New Roman"/>
          <w:b/>
          <w:i/>
          <w:sz w:val="20"/>
          <w:szCs w:val="20"/>
          <w:vertAlign w:val="subscript"/>
        </w:rPr>
        <w:t>j,a</w:t>
      </w:r>
      <w:r w:rsidRPr="001057CB">
        <w:rPr>
          <w:rFonts w:ascii="Times New Roman" w:hAnsi="Times New Roman"/>
          <w:i/>
          <w:sz w:val="20"/>
          <w:szCs w:val="20"/>
        </w:rPr>
        <w:t xml:space="preserve"> </w:t>
      </w:r>
      <w:r w:rsidRPr="001057CB">
        <w:rPr>
          <w:rFonts w:ascii="Times New Roman" w:hAnsi="Times New Roman"/>
          <w:sz w:val="20"/>
          <w:szCs w:val="20"/>
        </w:rPr>
        <w:t xml:space="preserve">was set equal to the reported (age-specific) participation rate in study site </w:t>
      </w:r>
      <w:r w:rsidRPr="001057CB">
        <w:rPr>
          <w:rFonts w:ascii="Times New Roman" w:hAnsi="Times New Roman"/>
          <w:i/>
          <w:sz w:val="20"/>
          <w:szCs w:val="20"/>
        </w:rPr>
        <w:t>j</w:t>
      </w:r>
      <w:r w:rsidRPr="001057CB">
        <w:rPr>
          <w:rFonts w:ascii="Times New Roman" w:hAnsi="Times New Roman"/>
          <w:sz w:val="20"/>
          <w:szCs w:val="20"/>
        </w:rPr>
        <w:t xml:space="preserve">. </w:t>
      </w:r>
      <w:r w:rsidR="00517466" w:rsidRPr="001057CB">
        <w:rPr>
          <w:rFonts w:ascii="Times New Roman" w:hAnsi="Times New Roman"/>
          <w:sz w:val="20"/>
          <w:szCs w:val="20"/>
        </w:rPr>
        <w:t>Studies that did not report a participation rate were assumed to have observed 100% participation.</w:t>
      </w:r>
    </w:p>
    <w:p w14:paraId="7B701427" w14:textId="77777777" w:rsidR="003D0C07" w:rsidRPr="001057CB" w:rsidRDefault="003D0C07" w:rsidP="003159E3">
      <w:pPr>
        <w:spacing w:line="480" w:lineRule="auto"/>
        <w:rPr>
          <w:rFonts w:ascii="Times New Roman" w:hAnsi="Times New Roman"/>
          <w:sz w:val="20"/>
          <w:szCs w:val="20"/>
        </w:rPr>
      </w:pPr>
    </w:p>
    <w:p w14:paraId="37CC197C" w14:textId="50ADF1E6" w:rsidR="00EF3CC7" w:rsidRPr="001057CB" w:rsidRDefault="001546E9" w:rsidP="003159E3">
      <w:pPr>
        <w:spacing w:line="480" w:lineRule="auto"/>
        <w:rPr>
          <w:rFonts w:ascii="Times New Roman" w:hAnsi="Times New Roman"/>
          <w:sz w:val="20"/>
          <w:szCs w:val="20"/>
        </w:rPr>
      </w:pPr>
      <w:r>
        <w:rPr>
          <w:rFonts w:ascii="Times New Roman" w:hAnsi="Times New Roman"/>
          <w:b/>
          <w:i/>
          <w:sz w:val="20"/>
          <w:szCs w:val="20"/>
        </w:rPr>
        <w:t>Blood Culture S</w:t>
      </w:r>
      <w:r w:rsidR="00273B99" w:rsidRPr="00273B99">
        <w:rPr>
          <w:rFonts w:ascii="Times New Roman" w:hAnsi="Times New Roman"/>
          <w:b/>
          <w:i/>
          <w:sz w:val="20"/>
          <w:szCs w:val="20"/>
        </w:rPr>
        <w:t>ensitivity.</w:t>
      </w:r>
      <w:r w:rsidR="00273B99">
        <w:rPr>
          <w:rFonts w:ascii="Times New Roman" w:hAnsi="Times New Roman"/>
          <w:sz w:val="20"/>
          <w:szCs w:val="20"/>
        </w:rPr>
        <w:t xml:space="preserve"> </w:t>
      </w:r>
      <w:r w:rsidR="005E4C62" w:rsidRPr="001057CB">
        <w:rPr>
          <w:rFonts w:ascii="Times New Roman" w:hAnsi="Times New Roman"/>
          <w:sz w:val="20"/>
          <w:szCs w:val="20"/>
        </w:rPr>
        <w:t>Finally, o</w:t>
      </w:r>
      <w:r w:rsidR="00AB521F" w:rsidRPr="001057CB">
        <w:rPr>
          <w:rFonts w:ascii="Times New Roman" w:hAnsi="Times New Roman"/>
          <w:sz w:val="20"/>
          <w:szCs w:val="20"/>
        </w:rPr>
        <w:t xml:space="preserve">bserved cases are influenced by </w:t>
      </w:r>
      <w:r w:rsidR="005E4C62" w:rsidRPr="001057CB">
        <w:rPr>
          <w:rFonts w:ascii="Times New Roman" w:hAnsi="Times New Roman"/>
          <w:sz w:val="20"/>
          <w:szCs w:val="20"/>
        </w:rPr>
        <w:t>one more</w:t>
      </w:r>
      <w:r w:rsidR="00AB521F" w:rsidRPr="001057CB">
        <w:rPr>
          <w:rFonts w:ascii="Times New Roman" w:hAnsi="Times New Roman"/>
          <w:sz w:val="20"/>
          <w:szCs w:val="20"/>
        </w:rPr>
        <w:t xml:space="preserve"> binomial process related to the test sensitivity of blood culture</w:t>
      </w:r>
      <w:r w:rsidR="005E73C3" w:rsidRPr="001057CB">
        <w:rPr>
          <w:rFonts w:ascii="Times New Roman" w:hAnsi="Times New Roman"/>
          <w:sz w:val="20"/>
          <w:szCs w:val="20"/>
        </w:rPr>
        <w:t xml:space="preserve"> (the standard diagnostic)</w:t>
      </w:r>
      <w:r w:rsidR="003D0C07" w:rsidRPr="001057CB">
        <w:rPr>
          <w:rFonts w:ascii="Times New Roman" w:hAnsi="Times New Roman"/>
          <w:sz w:val="20"/>
          <w:szCs w:val="20"/>
        </w:rPr>
        <w:t xml:space="preserve">, which is recognized to be suboptimal (i.e. </w:t>
      </w:r>
      <w:r w:rsidR="003D0C07" w:rsidRPr="001057CB">
        <w:rPr>
          <w:rFonts w:ascii="Times New Roman" w:hAnsi="Times New Roman"/>
          <w:sz w:val="20"/>
          <w:szCs w:val="20"/>
        </w:rPr>
        <w:lastRenderedPageBreak/>
        <w:t>only 40-60%)</w:t>
      </w:r>
      <w:r w:rsidR="001646A6" w:rsidRPr="001057CB">
        <w:rPr>
          <w:rFonts w:ascii="Times New Roman" w:hAnsi="Times New Roman"/>
          <w:sz w:val="20"/>
          <w:szCs w:val="20"/>
        </w:rPr>
        <w:fldChar w:fldCharType="begin" w:fldLock="1"/>
      </w:r>
      <w:r w:rsidR="0031425E">
        <w:rPr>
          <w:rFonts w:ascii="Times New Roman" w:hAnsi="Times New Roman"/>
          <w:sz w:val="20"/>
          <w:szCs w:val="20"/>
        </w:rPr>
        <w:instrText>ADDIN CSL_CITATION { "citationItems" : [ { "id" : "ITEM-1", "itemData" : { "ISSN" : "1972-2680", "PMID" : "19745517", "abstract" : "The diagnosis of enteric fever currently depends upon the isolation of Salmonella from a patient, most commonly by blood culture. This facility is not available in many areas where the disease is endemic. Serodiagnosis depends upon the 100-year-old Widal test, and other serological diagnostic tools have limitations because of their low sensitivity and/or specificity. The most promising recently published results are from PCR-based amplification of DNA from the blood of enteric fever patients but again this technique is not available where it is most needed. Antigen detection has not been investigated for well over three decades and detecting an immune response specific for typhoid fever has been done only with antibody detection. There is an urgent need for the rational design and evaluation of effective and appropriate diagnostics for enteric fever which must include the emerging threat of S. Paratyphi A.", "author" : [ { "dropping-particle" : "", "family" : "Wain", "given" : "John", "non-dropping-particle" : "", "parse-names" : false, "suffix" : "" }, { "dropping-particle" : "", "family" : "Hosoglu", "given" : "Salih", "non-dropping-particle" : "", "parse-names" : false, "suffix" : "" } ], "container-title" : "Journal of Infection in Developing Countries", "id" : "ITEM-1", "issue" : "6", "issued" : { "date-parts" : [ [ "2008", "1" ] ] }, "page" : "421-5", "title" : "The laboratory diagnosis of enteric fever.", "type" : "article-journal", "volume" : "2" }, "uris" : [ "http://www.mendeley.com/documents/?uuid=82146c86-82bd-4b07-b68b-f4ff062b5d7b" ] }, { "id" : "ITEM-2", "itemData" : { "DOI" : "http://dx.doi.org/10.3855/jidc.164", "ISBN" : "1972-2680", "ISSN" : "1972-2680", "PMID" : "19745526", "abstract" : "BACKGROUND Culture of S. Typhi is necessary for the definitive diagnosis of typhoid fever and provides isolates for antibiotic susceptibility testing and epidemiological studies. However, current methods are not fully optimised and sourcing culture media and bottles for culture media may be problematic. METHODOLOGY In two hospital laboratories in Viet Nam, comparisons of media for blood and stool culture were conducted. The effect of the volume of blood or stool on culture positivity rate was examined and direct plating of the blood buffy coat was trialed. RESULTS For 148 suspected typhoid fever cases, ox bile broth (58 positive) and brain-heart infusion broth containing saponin (63 positive), performed equally well. For 69 confirmed adult typhoid fever cases, large-volume (15 ml) blood culture gave the same sensitivity as 1 ml of bone marrow culture. For 44 confirmed typhoid fever cases, the direct plating of the buffy coat was positive in 28 cases. For 263 positive stool cultures, selenite F and selenite mannitol performed equally well and culturing 2 g rather than 1g increased the isolation rate by 10.5%. CONCLUSIONS For the diagnosis of typhoid fever by blood culture the medium should be a rich nutrient broth containing a lysing agent. In adults 1 ml bone marrow or 15 ml blood culture gave similar results. Where isolates are needed for susceptibility testing or epidemiological studies, but resources for culture are scarce, direct plating of the blood buffy coat can be used with a 50% fall in sensitivity compared to standard blood culture.", "author" : [ { "dropping-particle" : "", "family" : "Wain", "given" : "John", "non-dropping-particle" : "", "parse-names" : false, "suffix" : "" }, { "dropping-particle" : "", "family" : "Diep", "given" : "To Song", "non-dropping-particle" : "", "parse-names" : false, "suffix" : "" }, { "dropping-particle" : "", "family" : "Bay", "given" : "Phan Van Be", "non-dropping-particle" : "", "parse-names" : false, "suffix" : "" }, { "dropping-particle" : "", "family" : "Walsh", "given" : "Amanda L", "non-dropping-particle" : "", "parse-names" : false, "suffix" : "" }, { "dropping-particle" : "", "family" : "Vinh", "given" : "Ha", "non-dropping-particle" : "", "parse-names" : false, "suffix" : "" }, { "dropping-particle" : "", "family" : "Duong", "given" : "Nguyen M", "non-dropping-particle" : "", "parse-names" : false, "suffix" : "" }, { "dropping-particle" : "", "family" : "Ho", "given" : "Vo Anh", "non-dropping-particle" : "", "parse-names" : false, "suffix" : "" }, { "dropping-particle" : "", "family" : "Hien", "given" : "Tran T", "non-dropping-particle" : "", "parse-names" : false, "suffix" : "" }, { "dropping-particle" : "", "family" : "Farrar", "given" : "Jeremy", "non-dropping-particle" : "", "parse-names" : false, "suffix" : "" }, { "dropping-particle" : "", "family" : "White", "given" : "Nicholas J", "non-dropping-particle" : "", "parse-names" : false, "suffix" : "" }, { "dropping-particle" : "", "family" : "Parry", "given" : "Christopher M", "non-dropping-particle" : "", "parse-names" : false, "suffix" : "" }, { "dropping-particle" : "", "family" : "Day", "given" : "Nicholas P J", "non-dropping-particle" : "", "parse-names" : false, "suffix" : "" } ], "container-title" : "Journal of Infection in Developing Countries", "id" : "ITEM-2", "issue" : "6", "issued" : { "date-parts" : [ [ "2008" ] ] }, "page" : "469-74", "title" : "Specimens and culture media for the laboratory diagnosis of typhoid fever.", "type" : "article-journal", "volume" : "2" }, "uris" : [ "http://www.mendeley.com/documents/?uuid=e586efda-3d05-4131-90f9-95d44abba9cf" ] } ], "mendeley" : { "formattedCitation" : "[12,13]", "plainTextFormattedCitation" : "[12,13]", "previouslyFormattedCitation" : "[12,13]" }, "properties" : { "noteIndex" : 0 }, "schema" : "https://github.com/citation-style-language/schema/raw/master/csl-citation.json" }</w:instrText>
      </w:r>
      <w:r w:rsidR="001646A6" w:rsidRPr="001057CB">
        <w:rPr>
          <w:rFonts w:ascii="Times New Roman" w:hAnsi="Times New Roman"/>
          <w:sz w:val="20"/>
          <w:szCs w:val="20"/>
        </w:rPr>
        <w:fldChar w:fldCharType="separate"/>
      </w:r>
      <w:r w:rsidR="0031425E" w:rsidRPr="0031425E">
        <w:rPr>
          <w:rFonts w:ascii="Times New Roman" w:hAnsi="Times New Roman"/>
          <w:noProof/>
          <w:sz w:val="20"/>
          <w:szCs w:val="20"/>
        </w:rPr>
        <w:t>[12,13]</w:t>
      </w:r>
      <w:r w:rsidR="001646A6" w:rsidRPr="001057CB">
        <w:rPr>
          <w:rFonts w:ascii="Times New Roman" w:hAnsi="Times New Roman"/>
          <w:sz w:val="20"/>
          <w:szCs w:val="20"/>
        </w:rPr>
        <w:fldChar w:fldCharType="end"/>
      </w:r>
      <w:r w:rsidR="003D0C07" w:rsidRPr="001057CB">
        <w:rPr>
          <w:rFonts w:ascii="Times New Roman" w:hAnsi="Times New Roman"/>
          <w:sz w:val="20"/>
          <w:szCs w:val="20"/>
        </w:rPr>
        <w:t xml:space="preserve"> </w:t>
      </w:r>
      <w:r w:rsidR="00AB521F" w:rsidRPr="001057CB">
        <w:rPr>
          <w:rFonts w:ascii="Times New Roman" w:hAnsi="Times New Roman"/>
          <w:sz w:val="20"/>
          <w:szCs w:val="20"/>
        </w:rPr>
        <w:t>Adjusting for blood culture sensi</w:t>
      </w:r>
      <w:r w:rsidR="005A1FA9" w:rsidRPr="001057CB">
        <w:rPr>
          <w:rFonts w:ascii="Times New Roman" w:hAnsi="Times New Roman"/>
          <w:sz w:val="20"/>
          <w:szCs w:val="20"/>
        </w:rPr>
        <w:t>ti</w:t>
      </w:r>
      <w:r w:rsidR="00AB521F" w:rsidRPr="001057CB">
        <w:rPr>
          <w:rFonts w:ascii="Times New Roman" w:hAnsi="Times New Roman"/>
          <w:sz w:val="20"/>
          <w:szCs w:val="20"/>
        </w:rPr>
        <w:t>vity is important in order to avoid underestimating the true burden of the disease. Moreover, since less blood is</w:t>
      </w:r>
      <w:r w:rsidR="00692464" w:rsidRPr="001057CB">
        <w:rPr>
          <w:rFonts w:ascii="Times New Roman" w:hAnsi="Times New Roman"/>
          <w:sz w:val="20"/>
          <w:szCs w:val="20"/>
        </w:rPr>
        <w:t xml:space="preserve"> typically</w:t>
      </w:r>
      <w:r w:rsidR="00AB521F" w:rsidRPr="001057CB">
        <w:rPr>
          <w:rFonts w:ascii="Times New Roman" w:hAnsi="Times New Roman"/>
          <w:sz w:val="20"/>
          <w:szCs w:val="20"/>
        </w:rPr>
        <w:t xml:space="preserve"> drawn from younger children, it is important to understand how age-related differences in incidence may be attributable to difference</w:t>
      </w:r>
      <w:r w:rsidR="005E73C3" w:rsidRPr="001057CB">
        <w:rPr>
          <w:rFonts w:ascii="Times New Roman" w:hAnsi="Times New Roman"/>
          <w:sz w:val="20"/>
          <w:szCs w:val="20"/>
        </w:rPr>
        <w:t>s</w:t>
      </w:r>
      <w:r w:rsidR="00AB521F" w:rsidRPr="001057CB">
        <w:rPr>
          <w:rFonts w:ascii="Times New Roman" w:hAnsi="Times New Roman"/>
          <w:sz w:val="20"/>
          <w:szCs w:val="20"/>
        </w:rPr>
        <w:t xml:space="preserve"> </w:t>
      </w:r>
      <w:r w:rsidR="005E73C3" w:rsidRPr="001057CB">
        <w:rPr>
          <w:rFonts w:ascii="Times New Roman" w:hAnsi="Times New Roman"/>
          <w:sz w:val="20"/>
          <w:szCs w:val="20"/>
        </w:rPr>
        <w:t xml:space="preserve">in culture sensitivity </w:t>
      </w:r>
      <w:r w:rsidR="00DB454F">
        <w:rPr>
          <w:rFonts w:ascii="Times New Roman" w:hAnsi="Times New Roman"/>
          <w:sz w:val="20"/>
          <w:szCs w:val="20"/>
        </w:rPr>
        <w:t xml:space="preserve">by age. </w:t>
      </w:r>
      <w:r w:rsidR="005E73C3" w:rsidRPr="001057CB">
        <w:rPr>
          <w:rFonts w:ascii="Times New Roman" w:hAnsi="Times New Roman"/>
          <w:sz w:val="20"/>
          <w:szCs w:val="20"/>
        </w:rPr>
        <w:t xml:space="preserve">Thus, we assumed the number of observed (culture-confirmed) typhoid cases in age group </w:t>
      </w:r>
      <w:r w:rsidR="003D0C07" w:rsidRPr="0095479E">
        <w:rPr>
          <w:rFonts w:ascii="Times New Roman" w:hAnsi="Times New Roman"/>
          <w:b/>
          <w:i/>
          <w:sz w:val="20"/>
          <w:szCs w:val="20"/>
        </w:rPr>
        <w:t>a</w:t>
      </w:r>
      <w:r w:rsidR="003D0C07" w:rsidRPr="001057CB">
        <w:rPr>
          <w:rFonts w:ascii="Times New Roman" w:hAnsi="Times New Roman"/>
          <w:i/>
          <w:sz w:val="20"/>
          <w:szCs w:val="20"/>
        </w:rPr>
        <w:t xml:space="preserve"> </w:t>
      </w:r>
      <w:r w:rsidR="005E73C3" w:rsidRPr="001057CB">
        <w:rPr>
          <w:rFonts w:ascii="Times New Roman" w:hAnsi="Times New Roman"/>
          <w:sz w:val="20"/>
          <w:szCs w:val="20"/>
        </w:rPr>
        <w:t xml:space="preserve">in each surveillance </w:t>
      </w:r>
      <w:r w:rsidR="003D0C07" w:rsidRPr="001057CB">
        <w:rPr>
          <w:rFonts w:ascii="Times New Roman" w:hAnsi="Times New Roman"/>
          <w:sz w:val="20"/>
          <w:szCs w:val="20"/>
        </w:rPr>
        <w:t xml:space="preserve">site </w:t>
      </w:r>
      <w:r w:rsidR="003D0C07" w:rsidRPr="000F4772">
        <w:rPr>
          <w:rFonts w:ascii="Times New Roman" w:hAnsi="Times New Roman"/>
          <w:b/>
          <w:i/>
          <w:sz w:val="20"/>
          <w:szCs w:val="20"/>
        </w:rPr>
        <w:t>j</w:t>
      </w:r>
      <w:r w:rsidR="003D0C07" w:rsidRPr="001057CB">
        <w:rPr>
          <w:rFonts w:ascii="Times New Roman" w:hAnsi="Times New Roman"/>
          <w:sz w:val="20"/>
          <w:szCs w:val="20"/>
        </w:rPr>
        <w:t xml:space="preserve"> </w:t>
      </w:r>
      <w:r w:rsidR="005E73C3" w:rsidRPr="001057CB">
        <w:rPr>
          <w:rFonts w:ascii="Times New Roman" w:hAnsi="Times New Roman"/>
          <w:sz w:val="20"/>
          <w:szCs w:val="20"/>
        </w:rPr>
        <w:t xml:space="preserve">represented a fraction </w:t>
      </w:r>
      <m:oMath>
        <m:sSub>
          <m:sSubPr>
            <m:ctrlPr>
              <w:rPr>
                <w:rFonts w:ascii="Cambria Math" w:hAnsi="Cambria Math"/>
                <w:b/>
                <w:i/>
                <w:sz w:val="20"/>
                <w:szCs w:val="20"/>
              </w:rPr>
            </m:ctrlPr>
          </m:sSubPr>
          <m:e>
            <m:r>
              <m:rPr>
                <m:sty m:val="bi"/>
              </m:rPr>
              <w:rPr>
                <w:rFonts w:ascii="Cambria Math" w:hAnsi="Cambria Math"/>
                <w:sz w:val="20"/>
                <w:szCs w:val="20"/>
              </w:rPr>
              <m:t>ϕ</m:t>
            </m:r>
          </m:e>
          <m:sub>
            <m:r>
              <m:rPr>
                <m:sty m:val="bi"/>
              </m:rPr>
              <w:rPr>
                <w:rFonts w:ascii="Cambria Math" w:hAnsi="Cambria Math"/>
                <w:sz w:val="20"/>
                <w:szCs w:val="20"/>
              </w:rPr>
              <m:t>c,j,a</m:t>
            </m:r>
          </m:sub>
        </m:sSub>
        <m:r>
          <m:rPr>
            <m:sty m:val="bi"/>
          </m:rPr>
          <w:rPr>
            <w:rFonts w:ascii="Cambria Math" w:hAnsi="Cambria Math"/>
            <w:sz w:val="20"/>
            <w:szCs w:val="20"/>
          </w:rPr>
          <m:t xml:space="preserve"> </m:t>
        </m:r>
      </m:oMath>
      <w:r w:rsidR="005E73C3" w:rsidRPr="001057CB">
        <w:rPr>
          <w:rFonts w:ascii="Times New Roman" w:hAnsi="Times New Roman"/>
          <w:sz w:val="20"/>
          <w:szCs w:val="20"/>
        </w:rPr>
        <w:t xml:space="preserve">of the estimated number of cases that would have been detected </w:t>
      </w:r>
      <w:r w:rsidR="00692464" w:rsidRPr="001057CB">
        <w:rPr>
          <w:rFonts w:ascii="Times New Roman" w:hAnsi="Times New Roman"/>
          <w:sz w:val="20"/>
          <w:szCs w:val="20"/>
        </w:rPr>
        <w:t>using a perfect (100% sensitive and specific) test</w:t>
      </w:r>
      <w:r w:rsidR="005E73C3" w:rsidRPr="001057CB">
        <w:rPr>
          <w:rFonts w:ascii="Times New Roman" w:hAnsi="Times New Roman"/>
          <w:sz w:val="20"/>
          <w:szCs w:val="20"/>
        </w:rPr>
        <w:t>:</w:t>
      </w:r>
    </w:p>
    <w:p w14:paraId="2BFA7234" w14:textId="77777777" w:rsidR="00EF3CC7" w:rsidRPr="001057CB" w:rsidRDefault="00EF3CC7" w:rsidP="003159E3">
      <w:pPr>
        <w:spacing w:line="480" w:lineRule="auto"/>
        <w:rPr>
          <w:rFonts w:ascii="Times New Roman" w:hAnsi="Times New Roman"/>
          <w:sz w:val="20"/>
          <w:szCs w:val="20"/>
        </w:rPr>
      </w:pPr>
    </w:p>
    <w:p w14:paraId="3FB88547" w14:textId="3716AC29" w:rsidR="00EF3CC7" w:rsidRPr="0095479E" w:rsidRDefault="00B57A7B" w:rsidP="003159E3">
      <w:pPr>
        <w:spacing w:line="480" w:lineRule="auto"/>
        <w:jc w:val="center"/>
        <w:outlineLvl w:val="0"/>
        <w:rPr>
          <w:rFonts w:ascii="Times New Roman" w:hAnsi="Times New Roman"/>
          <w:b/>
          <w:sz w:val="20"/>
          <w:szCs w:val="20"/>
        </w:rPr>
      </w:pPr>
      <m:oMathPara>
        <m:oMathParaPr>
          <m:jc m:val="center"/>
        </m:oMathParaPr>
        <m:oMath>
          <m:r>
            <m:rPr>
              <m:nor/>
            </m:rPr>
            <w:rPr>
              <w:rFonts w:ascii="Times New Roman" w:hAnsi="Times New Roman"/>
              <w:b/>
              <w:sz w:val="20"/>
              <w:szCs w:val="20"/>
            </w:rPr>
            <m:t>Observed blood-culture positive cases</m:t>
          </m:r>
          <m:r>
            <m:rPr>
              <m:sty m:val="bi"/>
            </m:rPr>
            <w:rPr>
              <w:rFonts w:ascii="Cambria Math" w:hAnsi="Cambria Math"/>
              <w:sz w:val="20"/>
              <w:szCs w:val="20"/>
            </w:rPr>
            <m:t>∼</m:t>
          </m:r>
          <m:r>
            <m:rPr>
              <m:nor/>
            </m:rPr>
            <w:rPr>
              <w:rFonts w:ascii="Times New Roman" w:hAnsi="Times New Roman"/>
              <w:b/>
              <w:sz w:val="20"/>
              <w:szCs w:val="20"/>
            </w:rPr>
            <m:t>Binomial</m:t>
          </m:r>
          <m:d>
            <m:dPr>
              <m:ctrlPr>
                <w:rPr>
                  <w:rFonts w:ascii="Cambria Math" w:hAnsi="Cambria Math"/>
                  <w:b/>
                  <w:i/>
                  <w:sz w:val="20"/>
                  <w:szCs w:val="20"/>
                </w:rPr>
              </m:ctrlPr>
            </m:dPr>
            <m:e>
              <m:r>
                <m:rPr>
                  <m:nor/>
                </m:rPr>
                <w:rPr>
                  <w:rFonts w:ascii="Times New Roman" w:hAnsi="Times New Roman"/>
                  <w:b/>
                  <w:sz w:val="20"/>
                  <w:szCs w:val="20"/>
                </w:rPr>
                <m:t>Cases that agreed to participate</m:t>
              </m:r>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ϕ</m:t>
                  </m:r>
                </m:e>
                <m:sub>
                  <m:r>
                    <m:rPr>
                      <m:sty m:val="bi"/>
                    </m:rPr>
                    <w:rPr>
                      <w:rFonts w:ascii="Cambria Math" w:hAnsi="Cambria Math"/>
                      <w:sz w:val="20"/>
                      <w:szCs w:val="20"/>
                    </w:rPr>
                    <m:t>c,j,a</m:t>
                  </m:r>
                </m:sub>
              </m:sSub>
            </m:e>
          </m:d>
        </m:oMath>
      </m:oMathPara>
    </w:p>
    <w:p w14:paraId="1E446C54" w14:textId="77777777" w:rsidR="005E73C3" w:rsidRPr="001057CB" w:rsidRDefault="005E73C3" w:rsidP="003159E3">
      <w:pPr>
        <w:spacing w:line="480" w:lineRule="auto"/>
        <w:rPr>
          <w:rFonts w:ascii="Times New Roman" w:hAnsi="Times New Roman"/>
          <w:sz w:val="20"/>
          <w:szCs w:val="20"/>
        </w:rPr>
      </w:pPr>
    </w:p>
    <w:p w14:paraId="4F9B610E" w14:textId="128407C3" w:rsidR="00442C87" w:rsidRDefault="00EB5786" w:rsidP="003159E3">
      <w:pPr>
        <w:spacing w:line="480" w:lineRule="auto"/>
        <w:rPr>
          <w:rFonts w:ascii="Times New Roman" w:hAnsi="Times New Roman"/>
          <w:sz w:val="20"/>
          <w:szCs w:val="20"/>
        </w:rPr>
      </w:pPr>
      <w:r>
        <w:rPr>
          <w:rFonts w:ascii="Times New Roman" w:hAnsi="Times New Roman"/>
          <w:sz w:val="20"/>
          <w:szCs w:val="20"/>
        </w:rPr>
        <w:t>We surveyed the diagnostic accuracy literature on blood culture sensitivity of typhoid cases confirmed by the bone marrow culture</w:t>
      </w:r>
      <w:r w:rsidR="000F4772">
        <w:rPr>
          <w:rFonts w:ascii="Times New Roman" w:hAnsi="Times New Roman"/>
          <w:sz w:val="20"/>
          <w:szCs w:val="20"/>
        </w:rPr>
        <w:t xml:space="preserve"> </w:t>
      </w:r>
      <w:r w:rsidR="00732980" w:rsidRPr="001057CB">
        <w:rPr>
          <w:rFonts w:ascii="Times New Roman" w:hAnsi="Times New Roman"/>
          <w:sz w:val="20"/>
          <w:szCs w:val="20"/>
        </w:rPr>
        <w:fldChar w:fldCharType="begin" w:fldLock="1"/>
      </w:r>
      <w:r w:rsidR="00916BD1">
        <w:rPr>
          <w:rFonts w:ascii="Times New Roman" w:hAnsi="Times New Roman"/>
          <w:sz w:val="20"/>
          <w:szCs w:val="20"/>
        </w:rPr>
        <w:instrText>ADDIN CSL_CITATION { "citationItems" : [ { "id" : "ITEM-1", "itemData" : { "DOI" : "10.1586/eri.11.47", "ISSN" : "1744-8336", "PMID" : "21692675", "abstract" : "Enteric fever, an infection caused by Salmonella enterica serovar Typhi and serovar Paratyphi A, is common and endemic in many areas of the Asian and African continents. In endemic areas, diagnostic tests are needed to diagnose acute cases for clinical management, to detect convalescent and chronic fecal carriage and for contact tracing. A suitable test may also allow an assessment of disease burden in a community to determine the need for vaccination programs. Each specific role may warrant a dedicated test, utilizing different samples, targets and methods to serve their respective purpose. Current diagnostic methods are poor. Blood culture is insufficiently sensitive and technically demanding, and bone marrow culture, although more sensitive, is infrequently performed. Antibody- and antigen-detection tests lend themselves to point-of-care format but remain insufficiently sensitive and specific for this role. There are concerns about the sensitivity of nucleic acid amplification tests and they have not become widely adopted. However, new approaches using genomics, proteomics, transcriptomics, in vivo-induced antigen and immunoaffinity proteomics-based technologies are being employed to identify new antigens, gene targets and metabolic products that could be used as a basis for more effective diagnostic tests. If novel tests are to be credible and widely used they require rigorous evaluation in endemic areas in studies with appropriate selection of patients, adequate sample sizes and proper attention to a gold standard reference. Here, we discuss the range of methods currently used for diagnosing enteric fever in endemic locations and we suggest new technologies which may improve enteric fever diagnostics over the coming years.", "author" : [ { "dropping-particle" : "", "family" : "Parry", "given" : "Christopher M", "non-dropping-particle" : "", "parse-names" : false, "suffix" : "" }, { "dropping-particle" : "", "family" : "Wijedoru", "given" : "Lalith", "non-dropping-particle" : "", "parse-names" : false, "suffix" : "" }, { "dropping-particle" : "", "family" : "Arjyal", "given" : "Amit", "non-dropping-particle" : "", "parse-names" : false, "suffix" : "" }, { "dropping-particle" : "", "family" : "Baker", "given" : "Stephen", "non-dropping-particle" : "", "parse-names" : false, "suffix" : "" } ], "container-title" : "Expert Review of Anti-infective Therapy", "id" : "ITEM-1", "issue" : "6", "issued" : { "date-parts" : [ [ "2011", "6" ] ] }, "page" : "711-25", "title" : "The utility of diagnostic tests for enteric fever in endemic locations.", "type" : "article-journal", "volume" : "9" }, "uris" : [ "http://www.mendeley.com/documents/?uuid=be9efc01-4b65-463a-b5dd-9a0d753ea085" ] }, { "id" : "ITEM-2", "itemData" : { "DOI" : "10.1097/MOG.0000000000000021", "ISBN" : "0000000000000", "ISSN" : "1531-7056", "PMID" : "24304980", "abstract" : "PURPOSE OF REVIEW: Infection caused by ingestion of human-restricted Salmonella enterica serovars Typhi and Paratyphi predominantly affects the most impoverished sections of society. In this review, we describe recent advances made in estimating the burden of illness and the important role improved diagnostic tests may have in controlling infection and report the development of a new human challenge model of typhoid infection. RECENT FINDINGS: Typhoid continues to be a major cause of morbidity, particularly in children and young adults in south east Asia, although accurate assessments are still hindered by the lack of reliable surveillance data. Recent reports of high rates of infection in Africa and the dominance of paratyphoid in several geographic areas are of particular concern. Diagnosis of enteric fever remains frustrated by the nonspecific clinical presentation of cases and the lack of test sensitivity. Methods to improve diagnostic accuracy are hindered by the incomplete understanding of immunobiological mechanisms of infection and lack of a suitable animal infection model. SUMMARY: Enteric fever is a major global problem, the burden of which has only partially been recognized. Control strategies utilizing cheap accurate diagnostics and effective vaccines are urgently required, and their development should be accelerated by the use of a human challenge model.", "author" : [ { "dropping-particle" : "", "family" : "Darton", "given" : "Thomas C", "non-dropping-particle" : "", "parse-names" : false, "suffix" : "" }, { "dropping-particle" : "", "family" : "Blohmke", "given" : "Christoph J", "non-dropping-particle" : "", "parse-names" : false, "suffix" : "" }, { "dropping-particle" : "", "family" : "Pollard", "given" : "Andrew J", "non-dropping-particle" : "", "parse-names" : false, "suffix" : "" } ], "container-title" : "Current Opinion in Gastroenterology", "id" : "ITEM-2", "issue" : "1", "issued" : { "date-parts" : [ [ "2014", "1" ] ] }, "page" : "7-17", "title" : "Typhoid epidemiology, diagnostics and the human challenge model.", "type" : "article-journal", "volume" : "30" }, "uris" : [ "http://www.mendeley.com/documents/?uuid=e2ee985a-b8f9-474f-94d7-68c9acd3d47d" ] }, { "id" : "ITEM-3", "itemData" : { "ISSN" : "0140-6736", "PMID" : "48834", "abstract" : "The recovery of Salmonella typhi from blood, rectal swab, urine, bone-marrow, and rose spots was compared in 62 patients with typhoid fever, most of whom had received some antibiotic therapy before presentation. S. typhi was isolated from culture of bone-marrow in 56 patients (90%); in contrast, S. typhi was recovered from blood in only 25 (40%), from stool in 23 (37%), and urine in 4 (7%). S. typhi was isolated from 24 (63%) of 38 patients who had rose-spot cultures. If culture sites had been limited to blood, stool, and urine, the bacteriological diagnosis would have been missed in 24 patients.", "author" : [ { "dropping-particle" : "", "family" : "Gilman", "given" : "Robert H", "non-dropping-particle" : "", "parse-names" : false, "suffix" : "" }, { "dropping-particle" : "", "family" : "Terminel", "given" : "M", "non-dropping-particle" : "", "parse-names" : false, "suffix" : "" }, { "dropping-particle" : "", "family" : "Levine", "given" : "Myron M", "non-dropping-particle" : "", "parse-names" : false, "suffix" : "" }, { "dropping-particle" : "", "family" : "Hernandez-Mendoza", "given" : "P", "non-dropping-particle" : "", "parse-names" : false, "suffix" : "" }, { "dropping-particle" : "", "family" : "Hornick", "given" : "Richard B", "non-dropping-particle" : "", "parse-names" : false, "suffix" : "" } ], "container-title" : "Lancet", "id" : "ITEM-3", "issue" : "7918", "issued" : { "date-parts" : [ [ "1975", "5", "31" ] ] }, "page" : "1211-3", "title" : "Relative efficacy of blood, urine, rectal swab, bone-marrow, and rose-spot cultures for recovery of Salmonella typhi in typhoid fever.", "type" : "article-journal", "volume" : "1" }, "uris" : [ "http://www.mendeley.com/documents/?uuid=88e0c9b8-3a9d-4ded-8a16-34bc85ee0ace" ] }, { "id" : "ITEM-4", "itemData" : { "DOI" : "10.1016/0035-9203(79)90020-8", "ISBN" : "0035-9203", "ISSN" : "00359203", "PMID" : "538809", "abstract" : "The diagnostic efficacy of bone-marrow culture, serial blood cultures and agglutination tests was compared in a prospective study of 60 patients with typhoid fever, two thirds of whom had received prior antibacterial therapy. Salmonella typhi was recovered from marrow cultures in 95 % of patients but blood cultures were positive in only 43??3% (P &lt; 0??001). Agglutination tests were eventually diagnostic in 56.7% of patients, but in only 25% at the time of admission. If procedures had been limited to blood cultures and agglutination tests, diagnosis would have been missed in 21??7% of cases. The efficacy of marrow cultures was affected not by the duration of disease but by the extent of antibacterial therapy before presentation. Bacteriological recovery was faster from marrow cultures. ?? 1979.", "author" : [ { "dropping-particle" : "", "family" : "Guerra-Caceres", "given" : "J. G.", "non-dropping-particle" : "", "parse-names" : false, "suffix" : "" }, { "dropping-particle" : "", "family" : "Gotuzzo-Herencia", "given" : "E.", "non-dropping-particle" : "", "parse-names" : false, "suffix" : "" }, { "dropping-particle" : "", "family" : "Crosby-Dagnino", "given" : "E.", "non-dropping-particle" : "", "parse-names" : false, "suffix" : "" }, { "dropping-particle" : "", "family" : "Miro-Quesada", "given" : "M.", "non-dropping-particle" : "", "parse-names" : false, "suffix" : "" }, { "dropping-particle" : "", "family" : "Carrillo-Parodi", "given" : "C.", "non-dropping-particle" : "", "parse-names" : false, "suffix" : "" } ], "container-title" : "Transactions of the Royal Society of Tropical Medicine and Hygiene", "id" : "ITEM-4", "issue" : "6", "issued" : { "date-parts" : [ [ "1979" ] ] }, "note" : "From Duplicate 2 (Diagnostic-Value of Bone-Marrow Culture in Typhoid-Fever - Guerra-Caceres, J. G.; Gotuzzo-Herencia, E.; Crosby-Dagnino, E.; Miro-Quesada, M.; Carrillo-Parodi, C.)\n\n538809", "page" : "680-683", "title" : "Diagnostic-Value of Bone-Marrow Culture in Typhoid-Fever", "type" : "article-journal", "volume" : "73" }, "uris" : [ "http://www.mendeley.com/documents/?uuid=609cb073-ccdd-47a6-a093-e13681d0dc2b" ] }, { "id" : "ITEM-5", "itemData" : { "ISBN" : "0277-9730 (Print)\\r0277-9730 (Linking)", "ISSN" : "0277-9730", "PMID" : "3900945", "abstract" : "The relative efficacy of cultures made from duodenal contents (obtained by string capsules), bone marrow, blood and rectal swab was compared in 118 pediatric patients, 2 to 13 years old with suspected typhoid fever. Only 47% of children 2 to 6 years old tolerated the string device, as compared with 89% in children 7 to 13 years old (P less than 0.05). The four culture techniques were performed and at least one was positive for Salmonella typhi in 43 patients. Bone marrow cultures were positive in 84% of the confirmed cases, a sensitivity significantly greater than for duodenal contents (42%), blood (44%) and stool (65%) cultures. Higher recovery rates for blood cultures were found during the first week of illness than later (70 vs. 22%). Bone marrow cultures remain the most effective method for the recovery of S. typhi. Stool cultures appear to be more effective in children than in adults. Duodenal contents cultures offer little advantage in young (2 to 6 years old) children.", "author" : [ { "dropping-particle" : "", "family" : "Vallenas", "given" : "Constanza", "non-dropping-particle" : "", "parse-names" : false, "suffix" : "" }, { "dropping-particle" : "", "family" : "Hernandez", "given" : "Herminio", "non-dropping-particle" : "", "parse-names" : false, "suffix" : "" }, { "dropping-particle" : "", "family" : "Kay", "given" : "Bradley", "non-dropping-particle" : "", "parse-names" : false, "suffix" : "" }, { "dropping-particle" : "", "family" : "Black", "given" : "Robert", "non-dropping-particle" : "", "parse-names" : false, "suffix" : "" }, { "dropping-particle" : "", "family" : "Gotuzzo", "given" : "Eduardo", "non-dropping-particle" : "", "parse-names" : false, "suffix" : "" } ], "container-title" : "Pediatric Infectious Disease Journal", "id" : "ITEM-5", "issue" : "5", "issued" : { "date-parts" : [ [ "1985" ] ] }, "page" : "496-8", "title" : "Efficacy of bone marrow, blood, stool and duodenal contents cultures for bacteriologic confirmation of typhoid fever in children.", "type" : "article-journal", "volume" : "4" }, "uris" : [ "http://www.mendeley.com/documents/?uuid=0737dbff-cf7b-41b6-aad3-f8323f99e890" ] }, { "id" : "ITEM-6", "itemData" : { "ISSN" : "0002-9637", "PMID" : "3089041", "abstract" : "We compared the sensitivities of bone marrow aspirate culture (BMAC), 3 ml 1:4 and 8 ml 1:10 blood-to-broth ratio blood cultures (BC), 8 ml streptokinase clot culture (STKCC) and rectal swab culture (RSC) for isolating Salmonella typhi and S. paratyphi A from 61 patients with typhoid or paratyphoid fever in Jakarta, Indonesia. BMAC (92%) was significantly more sensitive than 8 ml BC (62%), 8 ml STKCC (51%), 3 ml BC (44%), RSC (56%) and the 19 ml combination of all three BC methods (71%). The combination of the three BC methods and RSC had an isolation rate of 87%. In Jakarta the diagnosis of typhoid fever cannot be confidently excluded unless a BMAC is done.", "author" : [ { "dropping-particle" : "", "family" : "Hoffman", "given" : "Stephen L.", "non-dropping-particle" : "", "parse-names" : false, "suffix" : "" }, { "dropping-particle" : "", "family" : "Edman", "given" : "David C.", "non-dropping-particle" : "", "parse-names" : false, "suffix" : "" }, { "dropping-particle" : "", "family" : "Punjabi", "given" : "Narain H.", "non-dropping-particle" : "", "parse-names" : false, "suffix" : "" }, { "dropping-particle" : "", "family" : "Lesmana", "given" : "Murad", "non-dropping-particle" : "", "parse-names" : false, "suffix" : "" }, { "dropping-particle" : "", "family" : "Cholid", "given" : "Abdul", "non-dropping-particle" : "", "parse-names" : false, "suffix" : "" }, { "dropping-particle" : "", "family" : "Sundah", "given" : "Sientje", "non-dropping-particle" : "", "parse-names" : false, "suffix" : "" }, { "dropping-particle" : "", "family" : "Harahap", "given" : "Jamas", "non-dropping-particle" : "", "parse-names" : false, "suffix" : "" } ], "container-title" : "American Journal of Tropical Medicine and Hygiene", "id" : "ITEM-6", "issue" : "4", "issued" : { "date-parts" : [ [ "1986", "7" ] ] }, "page" : "836-9", "title" : "Bone marrow aspirate culture superior to streptokinase clot culture and 8 ml 1:10 blood-to-broth ratio blood culture for diagnosis of typhoid fever.", "type" : "article-journal", "volume" : "35" }, "uris" : [ "http://www.mendeley.com/documents/?uuid=82c3ceed-1d8f-437a-ac59-1914b35c11b8" ] }, { "id" : "ITEM-7", "itemData" : { "ISBN" : "0041-3232", "ISSN" : "0041-3232", "PMID" : "1995265747", "abstract" : "We studied the yield of blood and bone marrow (BM) cultures in 145 patients clinically suspected of typhoid fever (TF) in Indonesia. The objectives were to compare the positivity of blood culture using 3 ml versus 10 ml of blood and to examine in how far specific antibiotic treatment for TF interfered with the positivity of BM culture. Blood for culture was collected before antibiotic treatment was initiated in hospital and BM 1 to 10 days after the start of treatment. Cultures were performed with Oxgall subcultured on SS agar. Seventy-nine per cent of patients was treated for 14 days or more with oral chloramphenicol, 18% with chloramphenicol followed by ampicillin or cotrimoxazol and 3% with other antibiotics. Cultures were positive for Salmonella typhi or S-paratyphi A in 57 of the 145 patients (39.3%) when 3 ml of blood was cultured and in 58 (40%) when 10 ml of blood was cultured. BM culture was positive despite antibiotic treatment in 70 patients (48.2%); this positivity was significantly greater than that of blood cultures (p &lt; 0.05). When we considered the positivity of BM culture in relation to the number of days on antibiotics in hospital, the yield of BM culture remained apparently unchanged during the first 5 days of treatment. This may be the consequence of slow elimination of S.typhi or S.paratyphi by the antibiotics used and could be responsible for relapses.", "author" : [ { "dropping-particle" : "", "family" : "Gasem", "given" : "M H", "non-dropping-particle" : "", "parse-names" : false, "suffix" : "" }, { "dropping-particle" : "", "family" : "Dolmans", "given" : "W M", "non-dropping-particle" : "", "parse-names" : false, "suffix" : "" }, { "dropping-particle" : "", "family" : "Isbandrio", "given" : "B B", "non-dropping-particle" : "", "parse-names" : false, "suffix" : "" }, { "dropping-particle" : "", "family" : "Wahyono", "given" : "H", "non-dropping-particle" : "", "parse-names" : false, "suffix" : "" }, { "dropping-particle" : "", "family" : "Keuter", "given" : "M", "non-dropping-particle" : "", "parse-names" : false, "suffix" : "" }, { "dropping-particle" : "", "family" : "Djokomoeljanto", "given" : "R", "non-dropping-particle" : "", "parse-names" : false, "suffix" : "" }, { "dropping-particle" : "", "family" : "Hussein Gasem", "given" : "M", "non-dropping-particle" : "", "parse-names" : false, "suffix" : "" }, { "dropping-particle" : "V", "family" : "Dolmans", "given" : "M W", "non-dropping-particle" : "", "parse-names" : false, "suffix" : "" }, { "dropping-particle" : "", "family" : "Bambang Isbandrio", "given" : "B", "non-dropping-particle" : "", "parse-names" : false, "suffix" : "" }, { "dropping-particle" : "", "family" : "Wahyono", "given" : "H", "non-dropping-particle" : "", "parse-names" : false, "suffix" : "" }, { "dropping-particle" : "", "family" : "Keuter", "given" : "M", "non-dropping-particle" : "", "parse-names" : false, "suffix" : "" }, { "dropping-particle" : "", "family" : "Djokomoeljanto", "given" : "R", "non-dropping-particle" : "", "parse-names" : false, "suffix" : "" } ], "container-title" : "Tropical and Geographical Medicine", "id" : "ITEM-7", "issue" : "4", "issued" : { "date-parts" : [ [ "1995" ] ] }, "language" : "English", "page" : "164-167", "publisher-place" : "Amsterdam, Netherlands", "title" : "Culture of Salmonella typhi and Salmonella paratyphi from blood and bone marrow in suspected typhoid fever", "type" : "article-journal", "volume" : "47" }, "uris" : [ "http://www.mendeley.com/documents/?uuid=9d54b96d-4067-4cbb-8aed-207e81994ba4" ] }, { "id" : "ITEM-8", "itemData" : { "ISBN" : "0022-2615", "PMID" : "20023026617", "abstract" : "To support the clinical diagnosis of typhoid fever in Indonesia, where most hospitals and health centres have no facilities for culture, a rapid dipstick assay for the detection of Salmonella typhi-specific IgM antibodies was evaluated on serum samples from 127 patients clinically suspected of having typhoid fever. In a single blood sample collected on admission to hospital, the sensitivity of the dipstick assay was 69.8% when compared with bone marrow culture and 86.5% when compared with blood culture. The specificity as calculated for the group of patients with suspected typhoid fever but a negative culture result was calculated to be 88.9%. Of 80 patients with febrile illnesses other than typhoid fever, reactivity was observed in only three patients with dengue haemorrhagic fever. The assay uses stabilised components that can be stored outside the refrigerator, does not require special equipment, and may be of use in remote health facilities that have no culture facilities.", "author" : [ { "dropping-particle" : "", "family" : "Gasem", "given" : "M H", "non-dropping-particle" : "", "parse-names" : false, "suffix" : "" }, { "dropping-particle" : "", "family" : "Smits", "given" : "H L", "non-dropping-particle" : "", "parse-names" : false, "suffix" : "" }, { "dropping-particle" : "", "family" : "Goris", "given" : "M G A", "non-dropping-particle" : "", "parse-names" : false, "suffix" : "" }, { "dropping-particle" : "V", "family" : "Dolmans", "given" : "W M", "non-dropping-particle" : "", "parse-names" : false, "suffix" : "" } ], "container-title" : "Journal of Medical Microbiology", "id" : "ITEM-8", "issue" : "2", "issued" : { "date-parts" : [ [ "2002" ] ] }, "language" : "English", "note" : "From Duplicate 1 (Evaluation of a simple and rapid dipstick assay for the diagnosis of typhoid fever in Indonesia - Gasem, M H; Smits, H L; Goris, M G A; Dolmans, W M V)\n\nUsing Smart Source Parsing\n27 ref\n\nFrom Duplicate 2 (Evaluation of a simple and rapid dipstick assay for the diagnosis of typhoid fever in Indonesia - Gasem, M H; Smits, H L; Goris, M G; Dolmans, W M)\n\nGasem, M Hussein\nSmits, Henk L\nGoris, Marga G A\nDolmans, Wil M V", "page" : "173-177", "title" : "Evaluation of a simple and rapid dipstick assay for the diagnosis of typhoid fever in Indonesia", "type" : "article-journal", "volume" : "51" }, "uris" : [ "http://www.mendeley.com/documents/?uuid=2e1566db-db14-4506-b906-9c7e02b62a9d" ] } ], "mendeley" : { "formattedCitation" : "[14\u201321]", "plainTextFormattedCitation" : "[14\u201321]", "previouslyFormattedCitation" : "[14\u201322]" }, "properties" : { "noteIndex" : 0 }, "schema" : "https://github.com/citation-style-language/schema/raw/master/csl-citation.json" }</w:instrText>
      </w:r>
      <w:r w:rsidR="00732980" w:rsidRPr="001057CB">
        <w:rPr>
          <w:rFonts w:ascii="Times New Roman" w:hAnsi="Times New Roman"/>
          <w:sz w:val="20"/>
          <w:szCs w:val="20"/>
        </w:rPr>
        <w:fldChar w:fldCharType="separate"/>
      </w:r>
      <w:bookmarkStart w:id="0" w:name="_GoBack"/>
      <w:bookmarkEnd w:id="0"/>
      <w:r w:rsidR="00916BD1" w:rsidRPr="00916BD1">
        <w:rPr>
          <w:rFonts w:ascii="Times New Roman" w:hAnsi="Times New Roman"/>
          <w:noProof/>
          <w:sz w:val="20"/>
          <w:szCs w:val="20"/>
        </w:rPr>
        <w:t>[14–21]</w:t>
      </w:r>
      <w:r w:rsidR="00732980" w:rsidRPr="001057CB">
        <w:rPr>
          <w:rFonts w:ascii="Times New Roman" w:hAnsi="Times New Roman"/>
          <w:sz w:val="20"/>
          <w:szCs w:val="20"/>
        </w:rPr>
        <w:fldChar w:fldCharType="end"/>
      </w:r>
      <w:r w:rsidR="00732980" w:rsidRPr="001057CB">
        <w:rPr>
          <w:rFonts w:ascii="Times New Roman" w:hAnsi="Times New Roman"/>
          <w:sz w:val="20"/>
          <w:szCs w:val="20"/>
        </w:rPr>
        <w:t>.</w:t>
      </w:r>
      <w:r w:rsidR="00732980">
        <w:rPr>
          <w:rFonts w:ascii="Times New Roman" w:hAnsi="Times New Roman"/>
          <w:sz w:val="20"/>
          <w:szCs w:val="20"/>
        </w:rPr>
        <w:t xml:space="preserve"> Because</w:t>
      </w:r>
      <w:r w:rsidR="005E73C3" w:rsidRPr="001057CB">
        <w:rPr>
          <w:rFonts w:ascii="Times New Roman" w:hAnsi="Times New Roman"/>
          <w:sz w:val="20"/>
          <w:szCs w:val="20"/>
        </w:rPr>
        <w:t xml:space="preserve"> the sensitivity of blood culture depends on the amount of blood drawn from the patient</w:t>
      </w:r>
      <w:r w:rsidR="00732980">
        <w:rPr>
          <w:rFonts w:ascii="Times New Roman" w:hAnsi="Times New Roman"/>
          <w:sz w:val="20"/>
          <w:szCs w:val="20"/>
        </w:rPr>
        <w:t>, a</w:t>
      </w:r>
      <w:r w:rsidR="005E73C3" w:rsidRPr="001057CB">
        <w:rPr>
          <w:rFonts w:ascii="Times New Roman" w:hAnsi="Times New Roman"/>
          <w:sz w:val="20"/>
          <w:szCs w:val="20"/>
        </w:rPr>
        <w:t xml:space="preserve"> meta-regression allowed us to estimate the relationship between amount </w:t>
      </w:r>
      <w:r w:rsidR="00732980">
        <w:rPr>
          <w:rFonts w:ascii="Times New Roman" w:hAnsi="Times New Roman"/>
          <w:sz w:val="20"/>
          <w:szCs w:val="20"/>
        </w:rPr>
        <w:t>of blood drawn and culture</w:t>
      </w:r>
      <w:r w:rsidR="005E73C3" w:rsidRPr="001057CB">
        <w:rPr>
          <w:rFonts w:ascii="Times New Roman" w:hAnsi="Times New Roman"/>
          <w:sz w:val="20"/>
          <w:szCs w:val="20"/>
        </w:rPr>
        <w:t xml:space="preserve"> sensitivity, which we used to parameterize the prior distribution for </w:t>
      </w:r>
      <m:oMath>
        <m:sSub>
          <m:sSubPr>
            <m:ctrlPr>
              <w:rPr>
                <w:rFonts w:ascii="Cambria Math" w:hAnsi="Cambria Math"/>
                <w:b/>
                <w:i/>
                <w:sz w:val="20"/>
                <w:szCs w:val="20"/>
              </w:rPr>
            </m:ctrlPr>
          </m:sSubPr>
          <m:e>
            <m:r>
              <m:rPr>
                <m:sty m:val="bi"/>
              </m:rPr>
              <w:rPr>
                <w:rFonts w:ascii="Cambria Math" w:hAnsi="Cambria Math"/>
                <w:sz w:val="20"/>
                <w:szCs w:val="20"/>
              </w:rPr>
              <m:t>ϕ</m:t>
            </m:r>
          </m:e>
          <m:sub>
            <m:r>
              <m:rPr>
                <m:sty m:val="bi"/>
              </m:rPr>
              <w:rPr>
                <w:rFonts w:ascii="Cambria Math" w:hAnsi="Cambria Math"/>
                <w:sz w:val="20"/>
                <w:szCs w:val="20"/>
              </w:rPr>
              <m:t>c,j,a</m:t>
            </m:r>
          </m:sub>
        </m:sSub>
        <m:r>
          <m:rPr>
            <m:sty m:val="bi"/>
          </m:rPr>
          <w:rPr>
            <w:rFonts w:ascii="Cambria Math" w:hAnsi="Cambria Math"/>
            <w:sz w:val="20"/>
            <w:szCs w:val="20"/>
          </w:rPr>
          <m:t xml:space="preserve"> </m:t>
        </m:r>
      </m:oMath>
      <w:r w:rsidR="005E73C3" w:rsidRPr="001057CB">
        <w:rPr>
          <w:rFonts w:ascii="Times New Roman" w:hAnsi="Times New Roman"/>
          <w:sz w:val="20"/>
          <w:szCs w:val="20"/>
        </w:rPr>
        <w:t xml:space="preserve"> in our </w:t>
      </w:r>
      <w:r w:rsidR="00732980">
        <w:rPr>
          <w:rFonts w:ascii="Times New Roman" w:hAnsi="Times New Roman"/>
          <w:sz w:val="20"/>
          <w:szCs w:val="20"/>
        </w:rPr>
        <w:t xml:space="preserve">incidence </w:t>
      </w:r>
      <w:r w:rsidR="005E73C3" w:rsidRPr="001057CB">
        <w:rPr>
          <w:rFonts w:ascii="Times New Roman" w:hAnsi="Times New Roman"/>
          <w:sz w:val="20"/>
          <w:szCs w:val="20"/>
        </w:rPr>
        <w:t>model</w:t>
      </w:r>
      <w:r w:rsidR="00273B99">
        <w:rPr>
          <w:rFonts w:ascii="Times New Roman" w:hAnsi="Times New Roman"/>
          <w:sz w:val="20"/>
          <w:szCs w:val="20"/>
        </w:rPr>
        <w:t>.</w:t>
      </w:r>
      <w:r w:rsidR="00517466" w:rsidRPr="001057CB">
        <w:rPr>
          <w:rFonts w:ascii="Times New Roman" w:hAnsi="Times New Roman"/>
          <w:sz w:val="20"/>
          <w:szCs w:val="20"/>
        </w:rPr>
        <w:t xml:space="preserve"> </w:t>
      </w:r>
      <w:r w:rsidR="00442C87" w:rsidRPr="00442C87">
        <w:rPr>
          <w:rFonts w:ascii="Times New Roman" w:hAnsi="Times New Roman"/>
          <w:sz w:val="20"/>
          <w:szCs w:val="20"/>
        </w:rPr>
        <w:t xml:space="preserve">The functional form of this </w:t>
      </w:r>
      <w:r>
        <w:rPr>
          <w:rFonts w:ascii="Times New Roman" w:hAnsi="Times New Roman"/>
          <w:sz w:val="20"/>
          <w:szCs w:val="20"/>
        </w:rPr>
        <w:t xml:space="preserve">parameter </w:t>
      </w:r>
      <w:r w:rsidR="00442C87" w:rsidRPr="00442C87">
        <w:rPr>
          <w:rFonts w:ascii="Times New Roman" w:hAnsi="Times New Roman"/>
          <w:sz w:val="20"/>
          <w:szCs w:val="20"/>
        </w:rPr>
        <w:t xml:space="preserve">aims to integrate two distinct types of studies: one set of studies measured the test sensitivity of patients using a fixed volume of blood, and a second set of studies measured the test sensitivity of patients using two different amounts of blood on the same patients, which allowed us to understand whether an additional mL of blood would render the blood culture of a typhoid positive. </w:t>
      </w:r>
      <w:r w:rsidR="00732980">
        <w:rPr>
          <w:rFonts w:ascii="Times New Roman" w:hAnsi="Times New Roman"/>
          <w:sz w:val="20"/>
          <w:szCs w:val="20"/>
        </w:rPr>
        <w:t xml:space="preserve">Therefore, we chose probability function analogous to </w:t>
      </w:r>
      <w:r w:rsidR="002A636E">
        <w:rPr>
          <w:rFonts w:ascii="Times New Roman" w:hAnsi="Times New Roman"/>
          <w:sz w:val="20"/>
          <w:szCs w:val="20"/>
        </w:rPr>
        <w:t>survival</w:t>
      </w:r>
      <w:r w:rsidR="00732980">
        <w:rPr>
          <w:rFonts w:ascii="Times New Roman" w:hAnsi="Times New Roman"/>
          <w:sz w:val="20"/>
          <w:szCs w:val="20"/>
        </w:rPr>
        <w:t xml:space="preserve"> function</w:t>
      </w:r>
      <w:r w:rsidR="002A636E">
        <w:rPr>
          <w:rFonts w:ascii="Times New Roman" w:hAnsi="Times New Roman"/>
          <w:sz w:val="20"/>
          <w:szCs w:val="20"/>
        </w:rPr>
        <w:t>s</w:t>
      </w:r>
      <w:r w:rsidR="00732980">
        <w:rPr>
          <w:rFonts w:ascii="Times New Roman" w:hAnsi="Times New Roman"/>
          <w:sz w:val="20"/>
          <w:szCs w:val="20"/>
        </w:rPr>
        <w:t xml:space="preserve"> in order to take into account</w:t>
      </w:r>
      <w:r w:rsidR="002A636E">
        <w:rPr>
          <w:rFonts w:ascii="Times New Roman" w:hAnsi="Times New Roman"/>
          <w:sz w:val="20"/>
          <w:szCs w:val="20"/>
        </w:rPr>
        <w:t xml:space="preserve"> studies with multiple measures</w:t>
      </w:r>
      <w:r w:rsidR="00732980">
        <w:rPr>
          <w:rFonts w:ascii="Times New Roman" w:hAnsi="Times New Roman"/>
          <w:sz w:val="20"/>
          <w:szCs w:val="20"/>
        </w:rPr>
        <w:t xml:space="preserve">. </w:t>
      </w:r>
      <w:r w:rsidR="00442C87" w:rsidRPr="00442C87">
        <w:rPr>
          <w:rFonts w:ascii="Times New Roman" w:hAnsi="Times New Roman"/>
          <w:sz w:val="20"/>
          <w:szCs w:val="20"/>
        </w:rPr>
        <w:t xml:space="preserve">Samples where no </w:t>
      </w:r>
      <w:r w:rsidR="00D64E09">
        <w:rPr>
          <w:rFonts w:ascii="Times New Roman" w:hAnsi="Times New Roman"/>
          <w:i/>
          <w:sz w:val="20"/>
          <w:szCs w:val="20"/>
        </w:rPr>
        <w:t xml:space="preserve">S. </w:t>
      </w:r>
      <w:r w:rsidR="00D64E09">
        <w:rPr>
          <w:rFonts w:ascii="Times New Roman" w:hAnsi="Times New Roman"/>
          <w:sz w:val="20"/>
          <w:szCs w:val="20"/>
        </w:rPr>
        <w:t>T</w:t>
      </w:r>
      <w:r w:rsidR="00D64E09" w:rsidRPr="00442C87">
        <w:rPr>
          <w:rFonts w:ascii="Times New Roman" w:hAnsi="Times New Roman"/>
          <w:sz w:val="20"/>
          <w:szCs w:val="20"/>
        </w:rPr>
        <w:t xml:space="preserve">yphi </w:t>
      </w:r>
      <w:r w:rsidR="00442C87" w:rsidRPr="00442C87">
        <w:rPr>
          <w:rFonts w:ascii="Times New Roman" w:hAnsi="Times New Roman"/>
          <w:sz w:val="20"/>
          <w:szCs w:val="20"/>
        </w:rPr>
        <w:t>grew</w:t>
      </w:r>
      <w:r w:rsidR="00732980">
        <w:rPr>
          <w:rFonts w:ascii="Times New Roman" w:hAnsi="Times New Roman"/>
          <w:sz w:val="20"/>
          <w:szCs w:val="20"/>
        </w:rPr>
        <w:t xml:space="preserve"> in the blood culture</w:t>
      </w:r>
      <w:r w:rsidR="00442C87" w:rsidRPr="00442C87">
        <w:rPr>
          <w:rFonts w:ascii="Times New Roman" w:hAnsi="Times New Roman"/>
          <w:sz w:val="20"/>
          <w:szCs w:val="20"/>
        </w:rPr>
        <w:t xml:space="preserve"> were treated as right-censored observations</w:t>
      </w:r>
      <w:r w:rsidR="00D64E09">
        <w:rPr>
          <w:rFonts w:ascii="Times New Roman" w:hAnsi="Times New Roman"/>
          <w:sz w:val="20"/>
          <w:szCs w:val="20"/>
        </w:rPr>
        <w:t>—</w:t>
      </w:r>
      <w:r w:rsidR="00442C87" w:rsidRPr="00442C87">
        <w:rPr>
          <w:rFonts w:ascii="Times New Roman" w:hAnsi="Times New Roman"/>
          <w:sz w:val="20"/>
          <w:szCs w:val="20"/>
        </w:rPr>
        <w:t>either the amount of blood collected or more would be necessary for the blood culture to be positive.</w:t>
      </w:r>
    </w:p>
    <w:p w14:paraId="442346C4" w14:textId="77777777" w:rsidR="00D64E09" w:rsidRDefault="00D64E09" w:rsidP="003159E3">
      <w:pPr>
        <w:spacing w:line="480" w:lineRule="auto"/>
        <w:rPr>
          <w:rFonts w:ascii="Times New Roman" w:hAnsi="Times New Roman"/>
          <w:sz w:val="20"/>
          <w:szCs w:val="20"/>
        </w:rPr>
      </w:pPr>
    </w:p>
    <w:p w14:paraId="7FBB13A8" w14:textId="11947300" w:rsidR="00C430E7" w:rsidRPr="00442C87" w:rsidRDefault="00C430E7" w:rsidP="003159E3">
      <w:pPr>
        <w:spacing w:line="480" w:lineRule="auto"/>
        <w:rPr>
          <w:rFonts w:ascii="Times New Roman" w:hAnsi="Times New Roman"/>
          <w:sz w:val="20"/>
          <w:szCs w:val="20"/>
        </w:rPr>
      </w:pPr>
      <w:r>
        <w:rPr>
          <w:rFonts w:ascii="Times New Roman" w:hAnsi="Times New Roman"/>
          <w:sz w:val="20"/>
          <w:szCs w:val="20"/>
        </w:rPr>
        <w:t xml:space="preserve">Patients whose blood culture was positive at volume </w:t>
      </w:r>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1</m:t>
            </m:r>
          </m:sub>
        </m:sSub>
        <m:r>
          <w:rPr>
            <w:rFonts w:ascii="Cambria Math" w:hAnsi="Cambria Math"/>
            <w:sz w:val="20"/>
            <w:szCs w:val="20"/>
          </w:rPr>
          <m:t>:</m:t>
        </m:r>
      </m:oMath>
    </w:p>
    <w:p w14:paraId="77798C84" w14:textId="5501C868" w:rsidR="00732980" w:rsidRPr="00C430E7" w:rsidRDefault="00916BD1" w:rsidP="003159E3">
      <w:pPr>
        <w:spacing w:line="480" w:lineRule="auto"/>
        <w:rPr>
          <w:rFonts w:ascii="Times New Roman" w:hAnsi="Times New Roman"/>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π</m:t>
              </m:r>
            </m:e>
            <m:sub>
              <m:r>
                <m:rPr>
                  <m:sty m:val="bi"/>
                </m:rPr>
                <w:rPr>
                  <w:rFonts w:ascii="Cambria Math" w:hAnsi="Cambria Math"/>
                  <w:sz w:val="20"/>
                  <w:szCs w:val="20"/>
                </w:rPr>
                <m:t>1</m:t>
              </m:r>
            </m:sub>
          </m:sSub>
          <m:r>
            <m:rPr>
              <m:sty m:val="bi"/>
            </m:rPr>
            <w:rPr>
              <w:rFonts w:ascii="Cambria Math" w:hAnsi="Cambria Math"/>
              <w:sz w:val="20"/>
              <w:szCs w:val="20"/>
            </w:rPr>
            <m:t xml:space="preserve">= </m:t>
          </m:r>
          <m:r>
            <m:rPr>
              <m:sty m:val="b"/>
            </m:rPr>
            <w:rPr>
              <w:rFonts w:ascii="Cambria Math" w:hAnsi="Cambria Math"/>
              <w:sz w:val="20"/>
              <w:szCs w:val="20"/>
            </w:rPr>
            <m:t>1-</m:t>
          </m:r>
          <m:func>
            <m:funcPr>
              <m:ctrlPr>
                <w:rPr>
                  <w:rFonts w:ascii="Cambria Math" w:hAnsi="Cambria Math"/>
                  <w:b/>
                  <w:sz w:val="20"/>
                  <w:szCs w:val="20"/>
                </w:rPr>
              </m:ctrlPr>
            </m:funcPr>
            <m:fName>
              <m:r>
                <m:rPr>
                  <m:sty m:val="b"/>
                </m:rPr>
                <w:rPr>
                  <w:rFonts w:ascii="Cambria Math" w:hAnsi="Cambria Math"/>
                  <w:sz w:val="20"/>
                  <w:szCs w:val="20"/>
                </w:rPr>
                <m:t>exp</m:t>
              </m:r>
            </m:fName>
            <m:e>
              <m:d>
                <m:dPr>
                  <m:ctrlPr>
                    <w:rPr>
                      <w:rFonts w:ascii="Cambria Math" w:hAnsi="Cambria Math"/>
                      <w:b/>
                      <w:sz w:val="20"/>
                      <w:szCs w:val="20"/>
                    </w:rPr>
                  </m:ctrlPr>
                </m:dPr>
                <m:e>
                  <m:r>
                    <m:rPr>
                      <m:sty m:val="b"/>
                    </m:rPr>
                    <w:rPr>
                      <w:rFonts w:ascii="Cambria Math" w:hAnsi="Cambria Math"/>
                      <w:sz w:val="20"/>
                      <w:szCs w:val="20"/>
                    </w:rPr>
                    <m:t>-</m:t>
                  </m:r>
                  <m:r>
                    <m:rPr>
                      <m:sty m:val="bi"/>
                    </m:rPr>
                    <w:rPr>
                      <w:rFonts w:ascii="Cambria Math" w:hAnsi="Cambria Math"/>
                      <w:sz w:val="20"/>
                      <w:szCs w:val="20"/>
                    </w:rPr>
                    <m:t>ψ</m:t>
                  </m:r>
                  <m:sSub>
                    <m:sSubPr>
                      <m:ctrlPr>
                        <w:rPr>
                          <w:rFonts w:ascii="Cambria Math" w:hAnsi="Cambria Math"/>
                          <w:b/>
                          <w:sz w:val="20"/>
                          <w:szCs w:val="20"/>
                        </w:rPr>
                      </m:ctrlPr>
                    </m:sSubPr>
                    <m:e>
                      <m:r>
                        <m:rPr>
                          <m:nor/>
                        </m:rPr>
                        <w:rPr>
                          <w:rFonts w:ascii="Times New Roman" w:hAnsi="Times New Roman"/>
                          <w:b/>
                          <w:sz w:val="20"/>
                          <w:szCs w:val="20"/>
                        </w:rPr>
                        <m:t xml:space="preserve"> × volume</m:t>
                      </m:r>
                    </m:e>
                    <m:sub>
                      <m:r>
                        <m:rPr>
                          <m:sty m:val="bi"/>
                        </m:rPr>
                        <w:rPr>
                          <w:rFonts w:ascii="Cambria Math" w:hAnsi="Cambria Math"/>
                          <w:sz w:val="20"/>
                          <w:szCs w:val="20"/>
                        </w:rPr>
                        <m:t>1</m:t>
                      </m:r>
                    </m:sub>
                  </m:sSub>
                </m:e>
              </m:d>
            </m:e>
          </m:func>
        </m:oMath>
      </m:oMathPara>
    </w:p>
    <w:p w14:paraId="070C90A9" w14:textId="117FCED3" w:rsidR="00C430E7" w:rsidRPr="00EB5786" w:rsidRDefault="00C430E7" w:rsidP="003159E3">
      <w:pPr>
        <w:spacing w:line="480" w:lineRule="auto"/>
        <w:rPr>
          <w:rFonts w:ascii="Times New Roman" w:hAnsi="Times New Roman"/>
          <w:sz w:val="20"/>
          <w:szCs w:val="20"/>
        </w:rPr>
      </w:pPr>
      <w:r>
        <w:rPr>
          <w:rFonts w:ascii="Times New Roman" w:hAnsi="Times New Roman"/>
          <w:sz w:val="20"/>
          <w:szCs w:val="20"/>
        </w:rPr>
        <w:t xml:space="preserve">Patients whose blood culture was negative at volume </w:t>
      </w:r>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1</m:t>
            </m:r>
          </m:sub>
        </m:sSub>
      </m:oMath>
      <w:r>
        <w:rPr>
          <w:rFonts w:ascii="Times New Roman" w:hAnsi="Times New Roman"/>
          <w:sz w:val="20"/>
          <w:szCs w:val="20"/>
        </w:rPr>
        <w:t xml:space="preserve"> but positive at volume </w:t>
      </w:r>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2</m:t>
            </m:r>
          </m:sub>
        </m:sSub>
      </m:oMath>
      <w:r>
        <w:rPr>
          <w:rFonts w:ascii="Times New Roman" w:hAnsi="Times New Roman"/>
          <w:sz w:val="20"/>
          <w:szCs w:val="20"/>
        </w:rPr>
        <w:t>:</w:t>
      </w:r>
    </w:p>
    <w:p w14:paraId="36B16F6F" w14:textId="05F82F85" w:rsidR="00732980" w:rsidRPr="00C430E7" w:rsidRDefault="00916BD1" w:rsidP="003159E3">
      <w:pPr>
        <w:spacing w:line="480" w:lineRule="auto"/>
        <w:rPr>
          <w:rFonts w:ascii="Times New Roman" w:hAnsi="Times New Roman"/>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π</m:t>
              </m:r>
            </m:e>
            <m:sub>
              <m:r>
                <m:rPr>
                  <m:sty m:val="bi"/>
                </m:rPr>
                <w:rPr>
                  <w:rFonts w:ascii="Cambria Math" w:hAnsi="Cambria Math"/>
                  <w:sz w:val="20"/>
                  <w:szCs w:val="20"/>
                </w:rPr>
                <m:t>2</m:t>
              </m:r>
            </m:sub>
          </m:sSub>
          <m:r>
            <m:rPr>
              <m:sty m:val="b"/>
            </m:rPr>
            <w:rPr>
              <w:rFonts w:ascii="Cambria Math" w:hAnsi="Cambria Math"/>
              <w:sz w:val="20"/>
              <w:szCs w:val="20"/>
            </w:rPr>
            <m:t>=[1- exp</m:t>
          </m:r>
          <m:d>
            <m:dPr>
              <m:ctrlPr>
                <w:rPr>
                  <w:rFonts w:ascii="Cambria Math" w:hAnsi="Cambria Math"/>
                  <w:b/>
                  <w:sz w:val="20"/>
                  <w:szCs w:val="20"/>
                </w:rPr>
              </m:ctrlPr>
            </m:dPr>
            <m:e>
              <m:r>
                <m:rPr>
                  <m:sty m:val="b"/>
                </m:rPr>
                <w:rPr>
                  <w:rFonts w:ascii="Cambria Math" w:hAnsi="Cambria Math"/>
                  <w:sz w:val="20"/>
                  <w:szCs w:val="20"/>
                </w:rPr>
                <m:t>-</m:t>
              </m:r>
              <m:r>
                <m:rPr>
                  <m:sty m:val="bi"/>
                </m:rPr>
                <w:rPr>
                  <w:rFonts w:ascii="Cambria Math" w:hAnsi="Cambria Math"/>
                  <w:sz w:val="20"/>
                  <w:szCs w:val="20"/>
                </w:rPr>
                <m:t>ψ</m:t>
              </m:r>
              <m:sSub>
                <m:sSubPr>
                  <m:ctrlPr>
                    <w:rPr>
                      <w:rFonts w:ascii="Cambria Math" w:hAnsi="Cambria Math"/>
                      <w:b/>
                      <w:sz w:val="20"/>
                      <w:szCs w:val="20"/>
                    </w:rPr>
                  </m:ctrlPr>
                </m:sSubPr>
                <m:e>
                  <m:r>
                    <m:rPr>
                      <m:nor/>
                    </m:rPr>
                    <w:rPr>
                      <w:rFonts w:ascii="Times New Roman" w:hAnsi="Times New Roman"/>
                      <w:b/>
                      <w:sz w:val="20"/>
                      <w:szCs w:val="20"/>
                    </w:rPr>
                    <m:t xml:space="preserve"> × volume</m:t>
                  </m:r>
                </m:e>
                <m:sub>
                  <m:r>
                    <m:rPr>
                      <m:sty m:val="bi"/>
                    </m:rPr>
                    <w:rPr>
                      <w:rFonts w:ascii="Cambria Math" w:hAnsi="Cambria Math"/>
                      <w:sz w:val="20"/>
                      <w:szCs w:val="20"/>
                    </w:rPr>
                    <m:t>2</m:t>
                  </m:r>
                </m:sub>
              </m:sSub>
            </m:e>
          </m:d>
          <m:r>
            <m:rPr>
              <m:sty m:val="b"/>
            </m:rPr>
            <w:rPr>
              <w:rFonts w:ascii="Cambria Math" w:hAnsi="Cambria Math"/>
              <w:sz w:val="20"/>
              <w:szCs w:val="20"/>
            </w:rPr>
            <m:t>]- [1-exp</m:t>
          </m:r>
          <m:d>
            <m:dPr>
              <m:ctrlPr>
                <w:rPr>
                  <w:rFonts w:ascii="Cambria Math" w:hAnsi="Cambria Math"/>
                  <w:b/>
                  <w:sz w:val="20"/>
                  <w:szCs w:val="20"/>
                </w:rPr>
              </m:ctrlPr>
            </m:dPr>
            <m:e>
              <m:r>
                <m:rPr>
                  <m:sty m:val="b"/>
                </m:rPr>
                <w:rPr>
                  <w:rFonts w:ascii="Cambria Math" w:hAnsi="Cambria Math"/>
                  <w:sz w:val="20"/>
                  <w:szCs w:val="20"/>
                </w:rPr>
                <m:t>-</m:t>
              </m:r>
              <m:r>
                <m:rPr>
                  <m:sty m:val="bi"/>
                </m:rPr>
                <w:rPr>
                  <w:rFonts w:ascii="Cambria Math" w:hAnsi="Cambria Math"/>
                  <w:sz w:val="20"/>
                  <w:szCs w:val="20"/>
                </w:rPr>
                <m:t>ψ</m:t>
              </m:r>
              <m:sSub>
                <m:sSubPr>
                  <m:ctrlPr>
                    <w:rPr>
                      <w:rFonts w:ascii="Cambria Math" w:hAnsi="Cambria Math"/>
                      <w:b/>
                      <w:sz w:val="20"/>
                      <w:szCs w:val="20"/>
                    </w:rPr>
                  </m:ctrlPr>
                </m:sSubPr>
                <m:e>
                  <m:r>
                    <m:rPr>
                      <m:nor/>
                    </m:rPr>
                    <w:rPr>
                      <w:rFonts w:ascii="Times New Roman" w:hAnsi="Times New Roman"/>
                      <w:b/>
                      <w:sz w:val="20"/>
                      <w:szCs w:val="20"/>
                    </w:rPr>
                    <m:t xml:space="preserve"> × volume</m:t>
                  </m:r>
                </m:e>
                <m:sub>
                  <m:r>
                    <m:rPr>
                      <m:sty m:val="bi"/>
                    </m:rPr>
                    <w:rPr>
                      <w:rFonts w:ascii="Cambria Math" w:hAnsi="Cambria Math"/>
                      <w:sz w:val="20"/>
                      <w:szCs w:val="20"/>
                    </w:rPr>
                    <m:t>1</m:t>
                  </m:r>
                </m:sub>
              </m:sSub>
            </m:e>
          </m:d>
          <m:r>
            <m:rPr>
              <m:sty m:val="b"/>
            </m:rPr>
            <w:rPr>
              <w:rFonts w:ascii="Cambria Math" w:hAnsi="Cambria Math"/>
              <w:sz w:val="20"/>
              <w:szCs w:val="20"/>
            </w:rPr>
            <m:t>]</m:t>
          </m:r>
        </m:oMath>
      </m:oMathPara>
    </w:p>
    <w:p w14:paraId="6F2E3E74" w14:textId="70DAF232" w:rsidR="00C430E7" w:rsidRPr="00442C87" w:rsidRDefault="00C430E7" w:rsidP="003159E3">
      <w:pPr>
        <w:spacing w:line="480" w:lineRule="auto"/>
        <w:rPr>
          <w:rFonts w:ascii="Times New Roman" w:hAnsi="Times New Roman"/>
          <w:sz w:val="20"/>
          <w:szCs w:val="20"/>
        </w:rPr>
      </w:pPr>
      <w:r>
        <w:rPr>
          <w:rFonts w:ascii="Times New Roman" w:hAnsi="Times New Roman"/>
          <w:sz w:val="20"/>
          <w:szCs w:val="20"/>
        </w:rPr>
        <w:t xml:space="preserve">Patients whose blood culture was negative at volume </w:t>
      </w:r>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2</m:t>
            </m:r>
          </m:sub>
        </m:sSub>
      </m:oMath>
      <w:r>
        <w:rPr>
          <w:rFonts w:ascii="Times New Roman" w:hAnsi="Times New Roman"/>
          <w:sz w:val="20"/>
          <w:szCs w:val="20"/>
        </w:rPr>
        <w:t>:</w:t>
      </w:r>
    </w:p>
    <w:p w14:paraId="16E7297C" w14:textId="73A680FE" w:rsidR="00442C87" w:rsidRPr="00442C87" w:rsidRDefault="00916BD1" w:rsidP="003159E3">
      <w:pPr>
        <w:spacing w:line="480" w:lineRule="auto"/>
        <w:rPr>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π</m:t>
              </m:r>
            </m:e>
            <m:sub>
              <m:r>
                <m:rPr>
                  <m:sty m:val="bi"/>
                </m:rPr>
                <w:rPr>
                  <w:rFonts w:ascii="Cambria Math" w:hAnsi="Cambria Math"/>
                  <w:sz w:val="20"/>
                  <w:szCs w:val="20"/>
                </w:rPr>
                <m:t>3</m:t>
              </m:r>
            </m:sub>
          </m:sSub>
          <m:r>
            <m:rPr>
              <m:sty m:val="bi"/>
            </m:rPr>
            <w:rPr>
              <w:rFonts w:ascii="Cambria Math" w:hAnsi="Cambria Math"/>
              <w:sz w:val="20"/>
              <w:szCs w:val="20"/>
            </w:rPr>
            <m:t xml:space="preserve">= </m:t>
          </m:r>
          <m:r>
            <m:rPr>
              <m:sty m:val="b"/>
            </m:rPr>
            <w:rPr>
              <w:rFonts w:ascii="Cambria Math" w:hAnsi="Cambria Math"/>
              <w:sz w:val="20"/>
              <w:szCs w:val="20"/>
            </w:rPr>
            <m:t>exp(-</m:t>
          </m:r>
          <m:r>
            <m:rPr>
              <m:sty m:val="bi"/>
            </m:rPr>
            <w:rPr>
              <w:rFonts w:ascii="Cambria Math" w:hAnsi="Cambria Math"/>
              <w:sz w:val="20"/>
              <w:szCs w:val="20"/>
            </w:rPr>
            <m:t>ψ</m:t>
          </m:r>
          <m:sSub>
            <m:sSubPr>
              <m:ctrlPr>
                <w:rPr>
                  <w:rFonts w:ascii="Cambria Math" w:hAnsi="Cambria Math"/>
                  <w:b/>
                  <w:sz w:val="20"/>
                  <w:szCs w:val="20"/>
                </w:rPr>
              </m:ctrlPr>
            </m:sSubPr>
            <m:e>
              <m:r>
                <m:rPr>
                  <m:nor/>
                </m:rPr>
                <w:rPr>
                  <w:rFonts w:ascii="Times New Roman" w:hAnsi="Times New Roman"/>
                  <w:b/>
                  <w:sz w:val="20"/>
                  <w:szCs w:val="20"/>
                </w:rPr>
                <m:t xml:space="preserve"> × volume</m:t>
              </m:r>
            </m:e>
            <m:sub>
              <m:r>
                <m:rPr>
                  <m:sty m:val="bi"/>
                </m:rPr>
                <w:rPr>
                  <w:rFonts w:ascii="Cambria Math" w:hAnsi="Cambria Math"/>
                  <w:sz w:val="20"/>
                  <w:szCs w:val="20"/>
                </w:rPr>
                <m:t>2</m:t>
              </m:r>
            </m:sub>
          </m:sSub>
          <m:r>
            <m:rPr>
              <m:sty m:val="b"/>
            </m:rPr>
            <w:rPr>
              <w:rFonts w:ascii="Cambria Math" w:hAnsi="Cambria Math"/>
              <w:sz w:val="20"/>
              <w:szCs w:val="20"/>
            </w:rPr>
            <m:t>)</m:t>
          </m:r>
        </m:oMath>
      </m:oMathPara>
    </w:p>
    <w:p w14:paraId="3D2F33E4" w14:textId="77777777" w:rsidR="00442C87" w:rsidRPr="00442C87" w:rsidRDefault="00442C87" w:rsidP="003159E3">
      <w:pPr>
        <w:spacing w:line="480" w:lineRule="auto"/>
        <w:rPr>
          <w:rFonts w:ascii="Times New Roman" w:hAnsi="Times New Roman"/>
          <w:sz w:val="20"/>
          <w:szCs w:val="20"/>
        </w:rPr>
      </w:pPr>
      <w:r w:rsidRPr="00442C87">
        <w:rPr>
          <w:rFonts w:ascii="Times New Roman" w:hAnsi="Times New Roman"/>
          <w:sz w:val="20"/>
          <w:szCs w:val="20"/>
        </w:rPr>
        <w:lastRenderedPageBreak/>
        <w:t xml:space="preserve">The likelihood function for each observation is: </w:t>
      </w:r>
    </w:p>
    <w:p w14:paraId="56E6945C" w14:textId="77777777" w:rsidR="00442C87" w:rsidRPr="00442C87" w:rsidRDefault="00442C87" w:rsidP="003159E3">
      <w:pPr>
        <w:spacing w:line="480" w:lineRule="auto"/>
        <w:rPr>
          <w:rFonts w:ascii="Times New Roman" w:hAnsi="Times New Roman"/>
          <w:sz w:val="20"/>
          <w:szCs w:val="20"/>
        </w:rPr>
      </w:pPr>
    </w:p>
    <w:p w14:paraId="22607A2A" w14:textId="77777777" w:rsidR="0095479E" w:rsidRPr="00C40733" w:rsidRDefault="0095479E" w:rsidP="0095479E">
      <w:pPr>
        <w:spacing w:line="360" w:lineRule="auto"/>
        <w:rPr>
          <w:rFonts w:ascii="Times New Roman" w:hAnsi="Times New Roman"/>
          <w:b/>
          <w:sz w:val="20"/>
          <w:szCs w:val="20"/>
        </w:rPr>
      </w:pPr>
      <m:oMathPara>
        <m:oMath>
          <m:r>
            <m:rPr>
              <m:sty m:val="b"/>
            </m:rPr>
            <w:rPr>
              <w:rFonts w:ascii="Cambria Math" w:hAnsi="Cambria Math"/>
              <w:sz w:val="20"/>
              <w:szCs w:val="20"/>
            </w:rPr>
            <m:t>Observation ~ Multinomial(π, All typhoid cases in the study)</m:t>
          </m:r>
        </m:oMath>
      </m:oMathPara>
    </w:p>
    <w:p w14:paraId="49727074" w14:textId="77777777" w:rsidR="00442C87" w:rsidRPr="00442C87" w:rsidRDefault="00442C87" w:rsidP="003159E3">
      <w:pPr>
        <w:spacing w:line="480" w:lineRule="auto"/>
        <w:rPr>
          <w:rFonts w:ascii="Times New Roman" w:hAnsi="Times New Roman"/>
          <w:sz w:val="20"/>
          <w:szCs w:val="20"/>
        </w:rPr>
      </w:pPr>
    </w:p>
    <w:p w14:paraId="287FB91C" w14:textId="22859994" w:rsidR="00442C87" w:rsidRPr="00442C87" w:rsidRDefault="00442C87" w:rsidP="003159E3">
      <w:pPr>
        <w:spacing w:line="480" w:lineRule="auto"/>
        <w:rPr>
          <w:rFonts w:ascii="Times New Roman" w:hAnsi="Times New Roman"/>
          <w:sz w:val="20"/>
          <w:szCs w:val="20"/>
        </w:rPr>
      </w:pPr>
      <w:r w:rsidRPr="00442C87">
        <w:rPr>
          <w:rFonts w:ascii="Times New Roman" w:hAnsi="Times New Roman"/>
          <w:sz w:val="20"/>
          <w:szCs w:val="20"/>
        </w:rPr>
        <w:t xml:space="preserve">Lastly, because </w:t>
      </w:r>
      <w:r w:rsidR="00732980">
        <w:rPr>
          <w:rFonts w:ascii="Times New Roman" w:hAnsi="Times New Roman"/>
          <w:sz w:val="20"/>
          <w:szCs w:val="20"/>
        </w:rPr>
        <w:t xml:space="preserve">unmeasured heterogeneity between </w:t>
      </w:r>
      <w:r w:rsidRPr="00442C87">
        <w:rPr>
          <w:rFonts w:ascii="Times New Roman" w:hAnsi="Times New Roman"/>
          <w:sz w:val="20"/>
          <w:szCs w:val="20"/>
        </w:rPr>
        <w:t>stud</w:t>
      </w:r>
      <w:r w:rsidR="00732980">
        <w:rPr>
          <w:rFonts w:ascii="Times New Roman" w:hAnsi="Times New Roman"/>
          <w:sz w:val="20"/>
          <w:szCs w:val="20"/>
        </w:rPr>
        <w:t>ies</w:t>
      </w:r>
      <w:r w:rsidRPr="00442C87">
        <w:rPr>
          <w:rFonts w:ascii="Times New Roman" w:hAnsi="Times New Roman"/>
          <w:sz w:val="20"/>
          <w:szCs w:val="20"/>
        </w:rPr>
        <w:t xml:space="preserve"> may impact the observations, we fit the </w:t>
      </w:r>
      <m:oMath>
        <m:r>
          <m:rPr>
            <m:sty m:val="bi"/>
          </m:rPr>
          <w:rPr>
            <w:rFonts w:ascii="Cambria Math" w:hAnsi="Cambria Math"/>
            <w:sz w:val="20"/>
            <w:szCs w:val="20"/>
          </w:rPr>
          <m:t>ψ</m:t>
        </m:r>
        <m:r>
          <w:rPr>
            <w:rFonts w:ascii="Cambria Math" w:hAnsi="Cambria Math"/>
            <w:sz w:val="20"/>
            <w:szCs w:val="20"/>
          </w:rPr>
          <m:t xml:space="preserve"> </m:t>
        </m:r>
      </m:oMath>
      <w:r w:rsidRPr="00442C87">
        <w:rPr>
          <w:rFonts w:ascii="Times New Roman" w:hAnsi="Times New Roman"/>
          <w:sz w:val="20"/>
          <w:szCs w:val="20"/>
        </w:rPr>
        <w:t xml:space="preserve">parameter as a random effect, which </w:t>
      </w:r>
      <w:r w:rsidR="00D64E09" w:rsidRPr="00442C87">
        <w:rPr>
          <w:rFonts w:ascii="Times New Roman" w:hAnsi="Times New Roman"/>
          <w:sz w:val="20"/>
          <w:szCs w:val="20"/>
        </w:rPr>
        <w:t>allow</w:t>
      </w:r>
      <w:r w:rsidR="00D64E09">
        <w:rPr>
          <w:rFonts w:ascii="Times New Roman" w:hAnsi="Times New Roman"/>
          <w:sz w:val="20"/>
          <w:szCs w:val="20"/>
        </w:rPr>
        <w:t>ed</w:t>
      </w:r>
      <w:r w:rsidR="00D64E09" w:rsidRPr="00442C87">
        <w:rPr>
          <w:rFonts w:ascii="Times New Roman" w:hAnsi="Times New Roman"/>
          <w:sz w:val="20"/>
          <w:szCs w:val="20"/>
        </w:rPr>
        <w:t xml:space="preserve"> </w:t>
      </w:r>
      <w:r w:rsidRPr="00442C87">
        <w:rPr>
          <w:rFonts w:ascii="Times New Roman" w:hAnsi="Times New Roman"/>
          <w:sz w:val="20"/>
          <w:szCs w:val="20"/>
        </w:rPr>
        <w:t>us to be more conservative in our conclusions on the effect of blood sample volume and sensitivity. The random effects were distributed as a log-normal distribution (since the rate parameter must be positive) and two hyper-parameters were estimated simultaneously to determine the common distribution of all random effects.</w:t>
      </w:r>
    </w:p>
    <w:p w14:paraId="0F126240" w14:textId="77777777" w:rsidR="0095479E" w:rsidRPr="00C40733" w:rsidRDefault="00916BD1" w:rsidP="0095479E">
      <w:pPr>
        <w:spacing w:line="360" w:lineRule="auto"/>
        <w:rPr>
          <w:rFonts w:ascii="Times New Roman" w:hAnsi="Times New Roman"/>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ψ</m:t>
              </m:r>
            </m:e>
            <m:sub>
              <m:r>
                <m:rPr>
                  <m:sty m:val="bi"/>
                </m:rPr>
                <w:rPr>
                  <w:rFonts w:ascii="Cambria Math" w:hAnsi="Cambria Math"/>
                  <w:sz w:val="20"/>
                  <w:szCs w:val="20"/>
                </w:rPr>
                <m:t>j</m:t>
              </m:r>
            </m:sub>
          </m:sSub>
          <m:r>
            <m:rPr>
              <m:sty m:val="bi"/>
            </m:rPr>
            <w:rPr>
              <w:rFonts w:ascii="Cambria Math" w:hAnsi="Cambria Math"/>
              <w:sz w:val="20"/>
              <w:szCs w:val="20"/>
            </w:rPr>
            <m:t>~</m:t>
          </m:r>
          <m:r>
            <m:rPr>
              <m:sty m:val="b"/>
            </m:rPr>
            <w:rPr>
              <w:rFonts w:ascii="Cambria Math" w:hAnsi="Cambria Math"/>
              <w:sz w:val="20"/>
              <w:szCs w:val="20"/>
            </w:rPr>
            <m:t>Log</m:t>
          </m:r>
          <m:r>
            <m:rPr>
              <m:nor/>
            </m:rPr>
            <w:rPr>
              <w:rFonts w:ascii="Times New Roman" w:hAnsi="Times New Roman"/>
              <w:b/>
              <w:sz w:val="20"/>
              <w:szCs w:val="20"/>
            </w:rPr>
            <m:t>Normal</m:t>
          </m:r>
          <m:d>
            <m:dPr>
              <m:ctrlPr>
                <w:rPr>
                  <w:rFonts w:ascii="Cambria Math" w:hAnsi="Cambria Math"/>
                  <w:b/>
                  <w:i/>
                  <w:sz w:val="20"/>
                  <w:szCs w:val="20"/>
                </w:rPr>
              </m:ctrlPr>
            </m:dPr>
            <m:e>
              <m:r>
                <m:rPr>
                  <m:sty m:val="bi"/>
                </m:rPr>
                <w:rPr>
                  <w:rFonts w:ascii="Cambria Math" w:hAnsi="Cambria Math"/>
                  <w:sz w:val="20"/>
                  <w:szCs w:val="20"/>
                </w:rPr>
                <m:t>μ, σ</m:t>
              </m:r>
            </m:e>
          </m:d>
        </m:oMath>
      </m:oMathPara>
    </w:p>
    <w:p w14:paraId="5EDEBC48" w14:textId="77777777" w:rsidR="00D64E09" w:rsidRDefault="00D64E09" w:rsidP="003159E3">
      <w:pPr>
        <w:spacing w:line="480" w:lineRule="auto"/>
        <w:rPr>
          <w:rFonts w:ascii="Times New Roman" w:hAnsi="Times New Roman"/>
          <w:sz w:val="20"/>
          <w:szCs w:val="20"/>
        </w:rPr>
      </w:pPr>
    </w:p>
    <w:p w14:paraId="12CFB653" w14:textId="4F54F7C1" w:rsidR="00442C87" w:rsidRDefault="00442C87" w:rsidP="003159E3">
      <w:pPr>
        <w:spacing w:line="480" w:lineRule="auto"/>
        <w:rPr>
          <w:rFonts w:ascii="Times New Roman" w:hAnsi="Times New Roman"/>
          <w:sz w:val="20"/>
          <w:szCs w:val="20"/>
        </w:rPr>
      </w:pPr>
      <w:r w:rsidRPr="00442C87">
        <w:rPr>
          <w:rFonts w:ascii="Times New Roman" w:hAnsi="Times New Roman"/>
          <w:sz w:val="20"/>
          <w:szCs w:val="20"/>
        </w:rPr>
        <w:t xml:space="preserve">Predictions of sensitivity </w:t>
      </w:r>
      <w:r w:rsidR="00732980">
        <w:rPr>
          <w:rFonts w:ascii="Times New Roman" w:hAnsi="Times New Roman"/>
          <w:sz w:val="20"/>
          <w:szCs w:val="20"/>
        </w:rPr>
        <w:t>were</w:t>
      </w:r>
      <w:r w:rsidRPr="00442C87">
        <w:rPr>
          <w:rFonts w:ascii="Times New Roman" w:hAnsi="Times New Roman"/>
          <w:sz w:val="20"/>
          <w:szCs w:val="20"/>
        </w:rPr>
        <w:t xml:space="preserve"> made by simulating the </w:t>
      </w:r>
      <w:r w:rsidRPr="0095479E">
        <w:rPr>
          <w:rFonts w:ascii="Times New Roman" w:hAnsi="Times New Roman"/>
          <w:b/>
          <w:i/>
          <w:sz w:val="20"/>
          <w:szCs w:val="20"/>
        </w:rPr>
        <w:sym w:font="Symbol" w:char="F070"/>
      </w:r>
      <w:r w:rsidRPr="00442C87">
        <w:rPr>
          <w:rFonts w:ascii="Times New Roman" w:hAnsi="Times New Roman"/>
          <w:sz w:val="20"/>
          <w:szCs w:val="20"/>
        </w:rPr>
        <w:t xml:space="preserve"> as a function of the random effect hyper-parameter, </w:t>
      </w:r>
      <w:r w:rsidRPr="0095479E">
        <w:rPr>
          <w:rFonts w:ascii="Times New Roman" w:hAnsi="Times New Roman"/>
          <w:b/>
          <w:i/>
          <w:sz w:val="20"/>
          <w:szCs w:val="20"/>
        </w:rPr>
        <w:sym w:font="Symbol" w:char="F06D"/>
      </w:r>
      <w:r w:rsidR="0006733B">
        <w:rPr>
          <w:rFonts w:ascii="Times New Roman" w:hAnsi="Times New Roman"/>
          <w:sz w:val="20"/>
          <w:szCs w:val="20"/>
        </w:rPr>
        <w:t>, as shown in Figure S1.</w:t>
      </w:r>
      <w:r w:rsidRPr="00442C87">
        <w:rPr>
          <w:rFonts w:ascii="Times New Roman" w:hAnsi="Times New Roman"/>
          <w:sz w:val="20"/>
          <w:szCs w:val="20"/>
        </w:rPr>
        <w:t xml:space="preserve"> It is notable that below 2 mL of blood, we cannot make any inference on the sensitivity of the blood culture. Moreover, there is a degree of “diminishing returns” in terms of the gains in sensitivity that are acquired as one collects increasingly more blood. In our </w:t>
      </w:r>
      <w:r w:rsidR="00D64E09">
        <w:rPr>
          <w:rFonts w:ascii="Times New Roman" w:hAnsi="Times New Roman"/>
          <w:sz w:val="20"/>
          <w:szCs w:val="20"/>
        </w:rPr>
        <w:t xml:space="preserve">main </w:t>
      </w:r>
      <w:r w:rsidRPr="00442C87">
        <w:rPr>
          <w:rFonts w:ascii="Times New Roman" w:hAnsi="Times New Roman"/>
          <w:sz w:val="20"/>
          <w:szCs w:val="20"/>
        </w:rPr>
        <w:t xml:space="preserve">analysis, we used the exponentiated values of posterior draws of </w:t>
      </w:r>
      <m:oMath>
        <m:r>
          <m:rPr>
            <m:sty m:val="bi"/>
          </m:rPr>
          <w:rPr>
            <w:rFonts w:ascii="Cambria Math" w:hAnsi="Cambria Math"/>
            <w:sz w:val="20"/>
            <w:szCs w:val="20"/>
          </w:rPr>
          <m:t>μ</m:t>
        </m:r>
      </m:oMath>
      <w:r w:rsidRPr="00442C87">
        <w:rPr>
          <w:rFonts w:ascii="Times New Roman" w:hAnsi="Times New Roman"/>
          <w:sz w:val="20"/>
          <w:szCs w:val="20"/>
        </w:rPr>
        <w:t xml:space="preserve"> to address the inherent correlation between the sensitivity of the two volumes.</w:t>
      </w:r>
    </w:p>
    <w:p w14:paraId="658AF80C" w14:textId="77777777" w:rsidR="0006733B" w:rsidRDefault="0006733B" w:rsidP="003159E3">
      <w:pPr>
        <w:spacing w:line="480" w:lineRule="auto"/>
        <w:rPr>
          <w:rFonts w:ascii="Times New Roman" w:hAnsi="Times New Roman"/>
          <w:sz w:val="20"/>
          <w:szCs w:val="20"/>
        </w:rPr>
      </w:pPr>
    </w:p>
    <w:p w14:paraId="6344F22B" w14:textId="7917AEA2" w:rsidR="00D61DB5" w:rsidRPr="001057CB" w:rsidRDefault="00517466" w:rsidP="003159E3">
      <w:pPr>
        <w:spacing w:line="480" w:lineRule="auto"/>
        <w:rPr>
          <w:rFonts w:ascii="Times New Roman" w:hAnsi="Times New Roman"/>
          <w:sz w:val="20"/>
          <w:szCs w:val="20"/>
        </w:rPr>
      </w:pPr>
      <w:r w:rsidRPr="001057CB">
        <w:rPr>
          <w:rFonts w:ascii="Times New Roman" w:hAnsi="Times New Roman"/>
          <w:sz w:val="20"/>
          <w:szCs w:val="20"/>
        </w:rPr>
        <w:t xml:space="preserve">If </w:t>
      </w:r>
      <w:r w:rsidR="00E11066">
        <w:rPr>
          <w:rFonts w:ascii="Times New Roman" w:hAnsi="Times New Roman"/>
          <w:sz w:val="20"/>
          <w:szCs w:val="20"/>
        </w:rPr>
        <w:t>an incidence</w:t>
      </w:r>
      <w:r w:rsidRPr="001057CB">
        <w:rPr>
          <w:rFonts w:ascii="Times New Roman" w:hAnsi="Times New Roman"/>
          <w:sz w:val="20"/>
          <w:szCs w:val="20"/>
        </w:rPr>
        <w:t xml:space="preserve"> study did not report the blood culture protocol, we assumed all children </w:t>
      </w:r>
      <w:r w:rsidR="00000B5D">
        <w:rPr>
          <w:rFonts w:ascii="Times New Roman" w:hAnsi="Times New Roman"/>
          <w:sz w:val="20"/>
          <w:szCs w:val="20"/>
        </w:rPr>
        <w:t>0-4</w:t>
      </w:r>
      <w:r w:rsidRPr="001057CB">
        <w:rPr>
          <w:rFonts w:ascii="Times New Roman" w:hAnsi="Times New Roman"/>
          <w:sz w:val="20"/>
          <w:szCs w:val="20"/>
        </w:rPr>
        <w:t xml:space="preserve"> years old had 4 mL of blood drawn, and all children </w:t>
      </w:r>
      <w:r w:rsidR="00687065">
        <w:rPr>
          <w:rFonts w:ascii="Times New Roman" w:hAnsi="Times New Roman"/>
          <w:sz w:val="20"/>
          <w:szCs w:val="20"/>
        </w:rPr>
        <w:t>5 years old or older</w:t>
      </w:r>
      <w:r w:rsidRPr="001057CB">
        <w:rPr>
          <w:rFonts w:ascii="Times New Roman" w:hAnsi="Times New Roman"/>
          <w:sz w:val="20"/>
          <w:szCs w:val="20"/>
        </w:rPr>
        <w:t xml:space="preserve"> had 7 mL of blood drawn, as per a review of the study protocols in the Diseases of the Most Impoverished (DOMI) studies, which constituted eight out of the 28 typhoid incidence studies in this analysis</w:t>
      </w:r>
      <w:r w:rsidRPr="001057CB">
        <w:rPr>
          <w:rFonts w:ascii="Times New Roman" w:hAnsi="Times New Roman"/>
          <w:sz w:val="20"/>
          <w:szCs w:val="20"/>
        </w:rPr>
        <w:fldChar w:fldCharType="begin" w:fldLock="1"/>
      </w:r>
      <w:r w:rsidR="00916BD1">
        <w:rPr>
          <w:rFonts w:ascii="Times New Roman" w:hAnsi="Times New Roman"/>
          <w:sz w:val="20"/>
          <w:szCs w:val="20"/>
        </w:rPr>
        <w:instrText>ADDIN CSL_CITATION { "citationItems" : [ { "id" : "ITEM-1", "itemData" : { "DOI" : "10.2471/BLT.06.039818", "ISBN" : "1564-0604", "ISSN" : "00429686", "PMID" : "18438514", "abstract" : "OBJECTIVE: To inform policy-makers about introduction of preventive interventions against typhoid, including vaccination.\\n\\nMETHODS: A population-based prospective surveillance design was used. Study sites where typhoid was considered a problem by local authorities were established in China, India, Indonesia, Pakistan and Viet Nam. Standardized clinical, laboratory, and surveillance methods were used to investigate cases of fever of &gt;or= 3 days' duration for a one-year period. A total of 441,435 persons were under surveillance, 159,856 of whom were aged 5-15 years.\\n\\nFINDINGS: A total of 21,874 episodes of fever were detected. Salmonella typhi was isolated from 475 (2%) blood cultures, 57% (273/475) of which were from 5-15 year-olds. The annual typhoid incidence (per 100,000 person years) among this age group varied from 24.2 and 29.3 in sites in Viet Nam and China, respectively, to 180.3 in the site in Indonesia; and to 412.9 and 493.5 in sites in Pakistan and India, respectively. Altogether, 23% (96/413) of isolates were multidrug resistant (chloramphenicol, ampicillin and trimethoprim-sulfamethoxazole).\\n\\nCONCLUSION: The incidence of typhoid varied substantially between sites, being high in India and Pakistan, intermediate in Indonesia, and low in China and Viet Nam. These findings highlight the considerable, but geographically heterogeneous, burden of typhoid fever in endemic areas of Asia, and underscore the importance of evidence on disease burden in making policy decisions about interventions to control this disease.", "author" : [ { "dropping-particle" : "", "family" : "Ochiai", "given" : "R Leon", "non-dropping-particle" : "", "parse-names" : false, "suffix" : "" }, { "dropping-particle" : "", "family" : "Acosta", "given" : "Camilo J.", "non-dropping-particle" : "", "parse-names" : false, "suffix" : "" }, { "dropping-particle" : "", "family" : "Danovaro-Holliday", "given" : "M. Carolina", "non-dropping-particle" : "", "parse-names" : false, "suffix" : "" }, { "dropping-particle" : "", "family" : "Baiqing", "given" : "Dong", "non-dropping-particle" : "", "parse-names" : false, "suffix" : "" }, { "dropping-particle" : "", "family" : "Bhattacharya", "given" : "Sujit K.", "non-dropping-particle" : "", "parse-names" : false, "suffix" : "" }, { "dropping-particle" : "", "family" : "Agtini", "given" : "Magdarina D.", "non-dropping-particle" : "", "parse-names" : false, "suffix" : "" }, { "dropping-particle" : "", "family" : "Bhutta", "given" : "Zulfiqar A.", "non-dropping-particle" : "", "parse-names" : false, "suffix" : "" }, { "dropping-particle" : "", "family" : "Canh", "given" : "Do Gia", "non-dropping-particle" : "", "parse-names" : false, "suffix" : "" }, { "dropping-particle" : "", "family" : "Ali", "given" : "Mohammad", "non-dropping-particle" : "", "parse-names" : false, "suffix" : "" }, { "dropping-particle" : "", "family" : "Shin", "given" : "Seonghye", "non-dropping-particle" : "", "parse-names" : false, "suffix" : "" }, { "dropping-particle" : "", "family" : "Wain", "given" : "John", "non-dropping-particle" : "", "parse-names" : false, "suffix" : "" }, { "dropping-particle" : "", "family" : "Page", "given" : "Anne Laure", "non-dropping-particle" : "", "parse-names" : false, "suffix" : "" }, { "dropping-particle" : "", "family" : "Albert", "given" : "M. John", "non-dropping-particle" : "", "parse-names" : false, "suffix" : "" }, { "dropping-particle" : "", "family" : "Farrar", "given" : "Jeremy", "non-dropping-particle" : "", "parse-names" : false, "suffix" : "" }, { "dropping-particle" : "", "family" : "Abu-Elyazeed", "given" : "Remon", "non-dropping-particle" : "", "parse-names" : false, "suffix" : "" }, { "dropping-particle" : "", "family" : "Pang", "given" : "Tikki", "non-dropping-particle" : "", "parse-names" : false, "suffix" : "" }, { "dropping-particle" : "", "family" : "Galindo", "given" : "Claudia M.", "non-dropping-particle" : "", "parse-names" : false, "suffix" : "" }, { "dropping-particle" : "", "family" : "Seidlein", "given" : "Lorenz", "non-dropping-particle" : "Von", "parse-names" : false, "suffix" : "" }, { "dropping-particle" : "", "family" : "Clemens", "given" : "John D.", "non-dropping-particle" : "", "parse-names" : false, "suffix" : "" }, { "dropping-particle" : "", "family" : "Jin", "given" : "Yang", "non-dropping-particle" : "", "parse-names" : false, "suffix" : "" }, { "dropping-particle" : "", "family" : "Dabin", "given" : "Liang", "non-dropping-particle" : "", "parse-names" : false, "suffix" : "" }, { "dropping-particle" : "", "family" : "Mingliu", "given" : "Wang", "non-dropping-particle" : "", "parse-names" : false, "suffix" : "" }, { "dropping-particle" : "", "family" : "Honghui", "given" : "Yang", "non-dropping-particle" : "", "parse-names" : false, "suffix" : "" }, { "dropping-particle" : "", "family" : "Sur", "given" : "Dipika", "non-dropping-particle" : "", "parse-names" : false, "suffix" : "" }, { "dropping-particle" : "", "family" : "Manna", "given" : "Byomkesh", "non-dropping-particle" : "", "parse-names" : false, "suffix" : "" }, { "dropping-particle" : "", "family" : "Dutta", "given" : "Shanta", "non-dropping-particle" : "", "parse-names" : false, "suffix" : "" }, { "dropping-particle" : "", "family" : "Nizami", "given" : "S. Qamaruddin", "non-dropping-particle" : "", "parse-names" : false, "suffix" : "" }, { "dropping-particle" : "", "family" : "Khan", "given" : "Mohammad Imran", "non-dropping-particle" : "", "parse-names" : false, "suffix" : "" }, { "dropping-particle" : "", "family" : "Hassan", "given" : "Rumina", "non-dropping-particle" : "", "parse-names" : false, "suffix" : "" }, { "dropping-particle" : "", "family" : "Dang", "given" : "Duc Anh", "non-dropping-particle" : "", "parse-names" : false, "suffix" : "" }, { "dropping-particle" : "", "family" : "Vu", "given" : "Din Thiem", "non-dropping-particle" : "", "parse-names" : false, "suffix" : "" }, { "dropping-particle" : "", "family" : "Nguyen", "given" : "S. H.", "non-dropping-particle" : "", "parse-names" : false, "suffix" : "" }, { "dropping-particle" : "", "family" : "Hoang", "given" : "P. T.", "non-dropping-particle" : "", "parse-names" : false, "suffix" : "" }, { "dropping-particle" : "", "family" : "Simanjuntak", "given" : "Cyrus", "non-dropping-particle" : "", "parse-names" : false, "suffix" : "" }, { "dropping-particle" : "", "family" : "Punjabi", "given" : "Narain", "non-dropping-particle" : "", "parse-names" : false, "suffix" : "" }, { "dropping-particle" : "", "family" : "Deen", "given" : "Jacqueline L.", "non-dropping-particle" : "", "parse-names" : false, "suffix" : "" }, { "dropping-particle" : "", "family" : "Xu", "given" : "Zhi Yi", "non-dropping-particle" : "", "parse-names" : false, "suffix" : "" }, { "dropping-particle" : "", "family" : "Park", "given" : "Jin Kyung", "non-dropping-particle" : "", "parse-names" : false, "suffix" : "" }, { "dropping-particle" : "", "family" : "Jodar", "given" : "Luis", "non-dropping-particle" : "", "parse-names" : false, "suffix" : "" } ], "container-title" : "Bulletin of the World Health Organization", "id" : "ITEM-1", "issue" : "4", "issued" : { "date-parts" : [ [ "2008", "4" ] ] }, "page" : "260-268", "title" : "A study of typhoid fever in five Asian countries: Disease burden and implications for controls", "type" : "article-journal", "volume" : "86" }, "uris" : [ "http://www.mendeley.com/documents/?uuid=bba14b21-049f-4bd3-8c79-f5a058c42419", "http://www.mendeley.com/documents/?uuid=1526fc0e-3de8-402b-a928-7f15ce4a9256" ] } ], "mendeley" : { "formattedCitation" : "[22]", "plainTextFormattedCitation" : "[22]", "previouslyFormattedCitation" : "[23]" }, "properties" : { "noteIndex" : 0 }, "schema" : "https://github.com/citation-style-language/schema/raw/master/csl-citation.json" }</w:instrText>
      </w:r>
      <w:r w:rsidRPr="001057CB">
        <w:rPr>
          <w:rFonts w:ascii="Times New Roman" w:hAnsi="Times New Roman"/>
          <w:sz w:val="20"/>
          <w:szCs w:val="20"/>
        </w:rPr>
        <w:fldChar w:fldCharType="separate"/>
      </w:r>
      <w:r w:rsidR="00916BD1" w:rsidRPr="00916BD1">
        <w:rPr>
          <w:rFonts w:ascii="Times New Roman" w:hAnsi="Times New Roman"/>
          <w:noProof/>
          <w:sz w:val="20"/>
          <w:szCs w:val="20"/>
        </w:rPr>
        <w:t>[22]</w:t>
      </w:r>
      <w:r w:rsidRPr="001057CB">
        <w:rPr>
          <w:rFonts w:ascii="Times New Roman" w:hAnsi="Times New Roman"/>
          <w:sz w:val="20"/>
          <w:szCs w:val="20"/>
        </w:rPr>
        <w:fldChar w:fldCharType="end"/>
      </w:r>
      <w:r w:rsidRPr="001057CB">
        <w:rPr>
          <w:rFonts w:ascii="Times New Roman" w:hAnsi="Times New Roman"/>
          <w:sz w:val="20"/>
          <w:szCs w:val="20"/>
        </w:rPr>
        <w:t>.</w:t>
      </w:r>
    </w:p>
    <w:p w14:paraId="216BDD64" w14:textId="77777777" w:rsidR="00517466" w:rsidRPr="001057CB" w:rsidRDefault="00517466" w:rsidP="003159E3">
      <w:pPr>
        <w:spacing w:line="480" w:lineRule="auto"/>
        <w:rPr>
          <w:rFonts w:ascii="Times New Roman" w:hAnsi="Times New Roman"/>
          <w:sz w:val="20"/>
          <w:szCs w:val="20"/>
        </w:rPr>
      </w:pPr>
    </w:p>
    <w:p w14:paraId="670B4F15" w14:textId="63E6857A" w:rsidR="00D61DB5" w:rsidRPr="001057CB" w:rsidRDefault="00D61DB5" w:rsidP="003159E3">
      <w:pPr>
        <w:spacing w:line="480" w:lineRule="auto"/>
        <w:rPr>
          <w:rFonts w:ascii="Times New Roman" w:hAnsi="Times New Roman"/>
          <w:sz w:val="20"/>
          <w:szCs w:val="20"/>
        </w:rPr>
      </w:pPr>
      <w:r w:rsidRPr="001057CB">
        <w:rPr>
          <w:rFonts w:ascii="Times New Roman" w:hAnsi="Times New Roman"/>
          <w:sz w:val="20"/>
          <w:szCs w:val="20"/>
        </w:rPr>
        <w:t>Integrating the observation process</w:t>
      </w:r>
      <w:r w:rsidR="00EB5786">
        <w:rPr>
          <w:rFonts w:ascii="Times New Roman" w:hAnsi="Times New Roman"/>
          <w:sz w:val="20"/>
          <w:szCs w:val="20"/>
        </w:rPr>
        <w:t>es</w:t>
      </w:r>
      <w:r w:rsidRPr="001057CB">
        <w:rPr>
          <w:rFonts w:ascii="Times New Roman" w:hAnsi="Times New Roman"/>
          <w:sz w:val="20"/>
          <w:szCs w:val="20"/>
        </w:rPr>
        <w:t xml:space="preserve"> and the disease process into our estimation algorithm, we obtain</w:t>
      </w:r>
      <w:r w:rsidR="003D0C07" w:rsidRPr="001057CB">
        <w:rPr>
          <w:rFonts w:ascii="Times New Roman" w:hAnsi="Times New Roman"/>
          <w:sz w:val="20"/>
          <w:szCs w:val="20"/>
        </w:rPr>
        <w:t>ed</w:t>
      </w:r>
      <w:r w:rsidRPr="001057CB">
        <w:rPr>
          <w:rFonts w:ascii="Times New Roman" w:hAnsi="Times New Roman"/>
          <w:sz w:val="20"/>
          <w:szCs w:val="20"/>
        </w:rPr>
        <w:t xml:space="preserve"> the following relationship:</w:t>
      </w:r>
    </w:p>
    <w:p w14:paraId="7CC98E61" w14:textId="77777777" w:rsidR="00422279" w:rsidRPr="001057CB" w:rsidRDefault="00422279" w:rsidP="003159E3">
      <w:pPr>
        <w:spacing w:line="480" w:lineRule="auto"/>
        <w:rPr>
          <w:rFonts w:ascii="Times New Roman" w:hAnsi="Times New Roman"/>
          <w:sz w:val="20"/>
          <w:szCs w:val="20"/>
        </w:rPr>
      </w:pPr>
    </w:p>
    <w:p w14:paraId="636CA7F5" w14:textId="3977BF4A" w:rsidR="00AB521F" w:rsidRPr="0095479E" w:rsidRDefault="00B57A7B" w:rsidP="003159E3">
      <w:pPr>
        <w:spacing w:line="480" w:lineRule="auto"/>
        <w:outlineLvl w:val="0"/>
        <w:rPr>
          <w:rFonts w:ascii="Times New Roman" w:hAnsi="Times New Roman"/>
          <w:b/>
          <w:sz w:val="20"/>
          <w:szCs w:val="20"/>
        </w:rPr>
      </w:pPr>
      <m:oMathPara>
        <m:oMath>
          <m:r>
            <m:rPr>
              <m:nor/>
            </m:rPr>
            <w:rPr>
              <w:rFonts w:ascii="Times New Roman" w:hAnsi="Times New Roman"/>
              <w:b/>
              <w:sz w:val="20"/>
              <w:szCs w:val="20"/>
            </w:rPr>
            <m:t>Observed Cases</m:t>
          </m:r>
          <m:r>
            <m:rPr>
              <m:sty m:val="bi"/>
            </m:rPr>
            <w:rPr>
              <w:rFonts w:ascii="Cambria Math" w:hAnsi="Cambria Math"/>
              <w:sz w:val="20"/>
              <w:szCs w:val="20"/>
            </w:rPr>
            <m:t xml:space="preserve">| </m:t>
          </m:r>
          <m:r>
            <m:rPr>
              <m:nor/>
            </m:rPr>
            <w:rPr>
              <w:rFonts w:ascii="Times New Roman" w:hAnsi="Times New Roman"/>
              <w:b/>
              <w:sz w:val="20"/>
              <w:szCs w:val="20"/>
            </w:rPr>
            <m:t>Population</m:t>
          </m:r>
          <m:r>
            <m:rPr>
              <m:sty m:val="bi"/>
            </m:rPr>
            <w:rPr>
              <w:rFonts w:ascii="Cambria Math" w:hAnsi="Cambria Math"/>
              <w:sz w:val="20"/>
              <w:szCs w:val="20"/>
            </w:rPr>
            <m:t xml:space="preserve">∼ </m:t>
          </m:r>
          <m:r>
            <m:rPr>
              <m:nor/>
            </m:rPr>
            <w:rPr>
              <w:rFonts w:ascii="Times New Roman" w:hAnsi="Times New Roman"/>
              <w:b/>
              <w:sz w:val="20"/>
              <w:szCs w:val="20"/>
            </w:rPr>
            <m:t>Poisson</m:t>
          </m:r>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λ</m:t>
              </m:r>
            </m:e>
            <m:sub>
              <m:r>
                <m:rPr>
                  <m:sty m:val="bi"/>
                </m:rPr>
                <w:rPr>
                  <w:rFonts w:ascii="Cambria Math" w:hAnsi="Cambria Math"/>
                  <w:sz w:val="20"/>
                  <w:szCs w:val="20"/>
                </w:rPr>
                <m:t>a,j</m:t>
              </m:r>
            </m:sub>
          </m:sSub>
          <m:sSub>
            <m:sSubPr>
              <m:ctrlPr>
                <w:rPr>
                  <w:rFonts w:ascii="Cambria Math" w:hAnsi="Cambria Math"/>
                  <w:b/>
                  <w:i/>
                  <w:sz w:val="20"/>
                  <w:szCs w:val="20"/>
                </w:rPr>
              </m:ctrlPr>
            </m:sSubPr>
            <m:e>
              <m:r>
                <m:rPr>
                  <m:sty m:val="bi"/>
                </m:rPr>
                <w:rPr>
                  <w:rFonts w:ascii="Cambria Math" w:hAnsi="Cambria Math"/>
                  <w:sz w:val="20"/>
                  <w:szCs w:val="20"/>
                </w:rPr>
                <m:t>ϕ</m:t>
              </m:r>
            </m:e>
            <m:sub>
              <m:r>
                <m:rPr>
                  <m:sty m:val="bi"/>
                </m:rPr>
                <w:rPr>
                  <w:rFonts w:ascii="Cambria Math" w:hAnsi="Cambria Math"/>
                  <w:sz w:val="20"/>
                  <w:szCs w:val="20"/>
                </w:rPr>
                <m:t>s</m:t>
              </m:r>
            </m:sub>
          </m:sSub>
          <m:sSub>
            <m:sSubPr>
              <m:ctrlPr>
                <w:rPr>
                  <w:rFonts w:ascii="Cambria Math" w:hAnsi="Cambria Math"/>
                  <w:b/>
                  <w:i/>
                  <w:sz w:val="20"/>
                  <w:szCs w:val="20"/>
                </w:rPr>
              </m:ctrlPr>
            </m:sSubPr>
            <m:e>
              <m:r>
                <m:rPr>
                  <m:sty m:val="bi"/>
                </m:rPr>
                <w:rPr>
                  <w:rFonts w:ascii="Cambria Math" w:hAnsi="Cambria Math"/>
                  <w:sz w:val="20"/>
                  <w:szCs w:val="20"/>
                </w:rPr>
                <m:t>ϕ</m:t>
              </m:r>
            </m:e>
            <m:sub>
              <m:r>
                <m:rPr>
                  <m:sty m:val="bi"/>
                </m:rPr>
                <w:rPr>
                  <w:rFonts w:ascii="Cambria Math" w:hAnsi="Cambria Math"/>
                  <w:sz w:val="20"/>
                  <w:szCs w:val="20"/>
                </w:rPr>
                <m:t>p,j,a</m:t>
              </m:r>
            </m:sub>
          </m:sSub>
          <m:sSub>
            <m:sSubPr>
              <m:ctrlPr>
                <w:rPr>
                  <w:rFonts w:ascii="Cambria Math" w:hAnsi="Cambria Math"/>
                  <w:b/>
                  <w:i/>
                  <w:sz w:val="20"/>
                  <w:szCs w:val="20"/>
                </w:rPr>
              </m:ctrlPr>
            </m:sSubPr>
            <m:e>
              <m:r>
                <m:rPr>
                  <m:sty m:val="bi"/>
                </m:rPr>
                <w:rPr>
                  <w:rFonts w:ascii="Cambria Math" w:hAnsi="Cambria Math"/>
                  <w:sz w:val="20"/>
                  <w:szCs w:val="20"/>
                </w:rPr>
                <m:t>ϕ</m:t>
              </m:r>
            </m:e>
            <m:sub>
              <m:r>
                <m:rPr>
                  <m:sty m:val="bi"/>
                </m:rPr>
                <w:rPr>
                  <w:rFonts w:ascii="Cambria Math" w:hAnsi="Cambria Math"/>
                  <w:sz w:val="20"/>
                  <w:szCs w:val="20"/>
                </w:rPr>
                <m:t>c,j,a</m:t>
              </m:r>
            </m:sub>
          </m:sSub>
          <m:r>
            <m:rPr>
              <m:sty m:val="bi"/>
            </m:rPr>
            <w:rPr>
              <w:rFonts w:ascii="Cambria Math" w:hAnsi="Cambria Math"/>
              <w:sz w:val="20"/>
              <w:szCs w:val="20"/>
            </w:rPr>
            <m:t xml:space="preserve">) </m:t>
          </m:r>
        </m:oMath>
      </m:oMathPara>
    </w:p>
    <w:p w14:paraId="6A255006" w14:textId="77777777" w:rsidR="00191051" w:rsidRPr="001057CB" w:rsidRDefault="00191051" w:rsidP="003159E3">
      <w:pPr>
        <w:spacing w:line="480" w:lineRule="auto"/>
        <w:outlineLvl w:val="0"/>
        <w:rPr>
          <w:rFonts w:ascii="Times New Roman" w:hAnsi="Times New Roman"/>
          <w:sz w:val="20"/>
          <w:szCs w:val="20"/>
        </w:rPr>
      </w:pPr>
    </w:p>
    <w:p w14:paraId="5A74510C" w14:textId="77777777" w:rsidR="00AB521F" w:rsidRPr="001057CB" w:rsidRDefault="00AB521F" w:rsidP="003159E3">
      <w:pPr>
        <w:pStyle w:val="Heading1"/>
        <w:spacing w:line="480" w:lineRule="auto"/>
        <w:rPr>
          <w:rFonts w:ascii="Times New Roman" w:hAnsi="Times New Roman"/>
          <w:b/>
          <w:color w:val="auto"/>
          <w:sz w:val="20"/>
          <w:szCs w:val="20"/>
        </w:rPr>
      </w:pPr>
      <w:r w:rsidRPr="001057CB">
        <w:rPr>
          <w:rFonts w:ascii="Times New Roman" w:hAnsi="Times New Roman"/>
          <w:b/>
          <w:color w:val="auto"/>
          <w:sz w:val="20"/>
          <w:szCs w:val="20"/>
        </w:rPr>
        <w:t>Variable</w:t>
      </w:r>
      <w:r w:rsidR="005477F5" w:rsidRPr="001057CB">
        <w:rPr>
          <w:rFonts w:ascii="Times New Roman" w:hAnsi="Times New Roman"/>
          <w:b/>
          <w:color w:val="auto"/>
          <w:sz w:val="20"/>
          <w:szCs w:val="20"/>
        </w:rPr>
        <w:t xml:space="preserve"> selection and model estimation</w:t>
      </w:r>
    </w:p>
    <w:p w14:paraId="5319B22F" w14:textId="51D90B41" w:rsidR="00820ABE" w:rsidRPr="001057CB" w:rsidRDefault="00CE1AFF" w:rsidP="003159E3">
      <w:pPr>
        <w:spacing w:line="480" w:lineRule="auto"/>
        <w:rPr>
          <w:rFonts w:ascii="Times New Roman" w:hAnsi="Times New Roman"/>
          <w:sz w:val="20"/>
          <w:szCs w:val="20"/>
        </w:rPr>
      </w:pPr>
      <w:r w:rsidRPr="001057CB">
        <w:rPr>
          <w:rFonts w:ascii="Times New Roman" w:hAnsi="Times New Roman"/>
          <w:sz w:val="20"/>
          <w:szCs w:val="20"/>
        </w:rPr>
        <w:t xml:space="preserve">Prediction models such as ours should incorporate the uncertainty not just in model parameters but also in model composition. </w:t>
      </w:r>
      <w:r w:rsidR="00820ABE" w:rsidRPr="001057CB">
        <w:rPr>
          <w:rFonts w:ascii="Times New Roman" w:hAnsi="Times New Roman"/>
          <w:sz w:val="20"/>
          <w:szCs w:val="20"/>
        </w:rPr>
        <w:t>Including all of the predictors may yield a model with poor predictive power</w:t>
      </w:r>
      <w:r w:rsidRPr="001057CB">
        <w:rPr>
          <w:rFonts w:ascii="Times New Roman" w:hAnsi="Times New Roman"/>
          <w:sz w:val="20"/>
          <w:szCs w:val="20"/>
        </w:rPr>
        <w:t xml:space="preserve">. </w:t>
      </w:r>
      <w:r w:rsidR="00820ABE" w:rsidRPr="001057CB">
        <w:rPr>
          <w:rFonts w:ascii="Times New Roman" w:hAnsi="Times New Roman"/>
          <w:sz w:val="20"/>
          <w:szCs w:val="20"/>
        </w:rPr>
        <w:t xml:space="preserve">In other words, our predictions should be derived from a suite of models that represent different combinations of predictors, weighted by the likelihood of each model. Model averaging techniques would require estimating all possible models, equal to all of the combinations of predictors, </w:t>
      </w:r>
      <w:r w:rsidR="00820ABE" w:rsidRPr="00B46EA3">
        <w:rPr>
          <w:rFonts w:ascii="Times New Roman" w:hAnsi="Times New Roman"/>
          <w:b/>
          <w:i/>
          <w:sz w:val="20"/>
          <w:szCs w:val="20"/>
        </w:rPr>
        <w:t>p</w:t>
      </w:r>
      <w:r w:rsidR="00820ABE" w:rsidRPr="001057CB">
        <w:rPr>
          <w:rFonts w:ascii="Times New Roman" w:hAnsi="Times New Roman"/>
          <w:sz w:val="20"/>
          <w:szCs w:val="20"/>
        </w:rPr>
        <w:t xml:space="preserve">: </w:t>
      </w:r>
      <w:r w:rsidR="003D0C07" w:rsidRPr="001057CB">
        <w:rPr>
          <w:rFonts w:ascii="Times New Roman" w:hAnsi="Times New Roman"/>
          <w:sz w:val="20"/>
          <w:szCs w:val="20"/>
        </w:rPr>
        <w:t>this would constitute</w:t>
      </w:r>
      <w:r w:rsidR="00820ABE" w:rsidRPr="001057CB">
        <w:rPr>
          <w:rFonts w:ascii="Times New Roman" w:hAnsi="Times New Roman"/>
          <w:sz w:val="20"/>
          <w:szCs w:val="20"/>
        </w:rPr>
        <w:t xml:space="preserve"> </w:t>
      </w:r>
      <w:r w:rsidR="00820ABE" w:rsidRPr="0095479E">
        <w:rPr>
          <w:rFonts w:ascii="Times New Roman" w:hAnsi="Times New Roman"/>
          <w:b/>
          <w:sz w:val="20"/>
          <w:szCs w:val="20"/>
        </w:rPr>
        <w:t>3</w:t>
      </w:r>
      <w:r w:rsidR="00820ABE" w:rsidRPr="0095479E">
        <w:rPr>
          <w:rFonts w:ascii="Times New Roman" w:hAnsi="Times New Roman"/>
          <w:b/>
          <w:i/>
          <w:iCs/>
          <w:sz w:val="20"/>
          <w:szCs w:val="20"/>
          <w:vertAlign w:val="superscript"/>
        </w:rPr>
        <w:t>p</w:t>
      </w:r>
      <w:r w:rsidR="00820ABE" w:rsidRPr="001057CB">
        <w:rPr>
          <w:rFonts w:ascii="Times New Roman" w:hAnsi="Times New Roman"/>
          <w:sz w:val="20"/>
          <w:szCs w:val="20"/>
        </w:rPr>
        <w:t xml:space="preserve"> models if the predictors are included in the intercept</w:t>
      </w:r>
      <w:r w:rsidRPr="001057CB">
        <w:rPr>
          <w:rFonts w:ascii="Times New Roman" w:hAnsi="Times New Roman"/>
          <w:sz w:val="20"/>
          <w:szCs w:val="20"/>
        </w:rPr>
        <w:t xml:space="preserve"> (</w:t>
      </w:r>
      <w:r w:rsidRPr="0095479E">
        <w:rPr>
          <w:rFonts w:ascii="Times New Roman" w:hAnsi="Times New Roman"/>
          <w:b/>
          <w:i/>
          <w:sz w:val="20"/>
          <w:szCs w:val="20"/>
        </w:rPr>
        <w:t>B</w:t>
      </w:r>
      <w:r w:rsidRPr="0095479E">
        <w:rPr>
          <w:rFonts w:ascii="Times New Roman" w:hAnsi="Times New Roman"/>
          <w:b/>
          <w:sz w:val="20"/>
          <w:szCs w:val="20"/>
          <w:vertAlign w:val="subscript"/>
        </w:rPr>
        <w:t>0,</w:t>
      </w:r>
      <w:r w:rsidRPr="0095479E">
        <w:rPr>
          <w:rFonts w:ascii="Times New Roman" w:hAnsi="Times New Roman"/>
          <w:b/>
          <w:i/>
          <w:sz w:val="20"/>
          <w:szCs w:val="20"/>
          <w:vertAlign w:val="subscript"/>
        </w:rPr>
        <w:t>j</w:t>
      </w:r>
      <w:r w:rsidRPr="001057CB">
        <w:rPr>
          <w:rFonts w:ascii="Times New Roman" w:hAnsi="Times New Roman"/>
          <w:sz w:val="20"/>
          <w:szCs w:val="20"/>
        </w:rPr>
        <w:t>)</w:t>
      </w:r>
      <w:r w:rsidR="00820ABE" w:rsidRPr="001057CB">
        <w:rPr>
          <w:rFonts w:ascii="Times New Roman" w:hAnsi="Times New Roman"/>
          <w:sz w:val="20"/>
          <w:szCs w:val="20"/>
        </w:rPr>
        <w:t xml:space="preserve"> as well as the slopes</w:t>
      </w:r>
      <w:r w:rsidRPr="001057CB">
        <w:rPr>
          <w:rFonts w:ascii="Times New Roman" w:hAnsi="Times New Roman"/>
          <w:sz w:val="20"/>
          <w:szCs w:val="20"/>
        </w:rPr>
        <w:t xml:space="preserve"> (</w:t>
      </w:r>
      <w:r w:rsidRPr="0095479E">
        <w:rPr>
          <w:rFonts w:ascii="Times New Roman" w:hAnsi="Times New Roman"/>
          <w:b/>
          <w:i/>
          <w:sz w:val="20"/>
          <w:szCs w:val="20"/>
        </w:rPr>
        <w:t>B</w:t>
      </w:r>
      <w:r w:rsidRPr="0095479E">
        <w:rPr>
          <w:rFonts w:ascii="Times New Roman" w:hAnsi="Times New Roman"/>
          <w:b/>
          <w:i/>
          <w:sz w:val="20"/>
          <w:szCs w:val="20"/>
          <w:vertAlign w:val="subscript"/>
        </w:rPr>
        <w:t>a</w:t>
      </w:r>
      <w:r w:rsidRPr="0095479E">
        <w:rPr>
          <w:rFonts w:ascii="Times New Roman" w:hAnsi="Times New Roman"/>
          <w:b/>
          <w:sz w:val="20"/>
          <w:szCs w:val="20"/>
          <w:vertAlign w:val="subscript"/>
        </w:rPr>
        <w:t>,</w:t>
      </w:r>
      <w:r w:rsidRPr="0095479E">
        <w:rPr>
          <w:rFonts w:ascii="Times New Roman" w:hAnsi="Times New Roman"/>
          <w:b/>
          <w:i/>
          <w:sz w:val="20"/>
          <w:szCs w:val="20"/>
          <w:vertAlign w:val="subscript"/>
        </w:rPr>
        <w:t>j</w:t>
      </w:r>
      <w:r w:rsidRPr="001057CB">
        <w:rPr>
          <w:rFonts w:ascii="Times New Roman" w:hAnsi="Times New Roman"/>
          <w:sz w:val="20"/>
          <w:szCs w:val="20"/>
        </w:rPr>
        <w:t>)</w:t>
      </w:r>
      <w:r w:rsidR="00820ABE" w:rsidRPr="001057CB">
        <w:rPr>
          <w:rFonts w:ascii="Times New Roman" w:hAnsi="Times New Roman"/>
          <w:sz w:val="20"/>
          <w:szCs w:val="20"/>
        </w:rPr>
        <w:t xml:space="preserve">. Adequately estimating each model via </w:t>
      </w:r>
      <w:r w:rsidR="003D0C07" w:rsidRPr="001057CB">
        <w:rPr>
          <w:rFonts w:ascii="Times New Roman" w:hAnsi="Times New Roman"/>
          <w:sz w:val="20"/>
          <w:szCs w:val="20"/>
        </w:rPr>
        <w:t>Markov Chain Monte Carlo (</w:t>
      </w:r>
      <w:r w:rsidR="00820ABE" w:rsidRPr="001057CB">
        <w:rPr>
          <w:rFonts w:ascii="Times New Roman" w:hAnsi="Times New Roman"/>
          <w:sz w:val="20"/>
          <w:szCs w:val="20"/>
        </w:rPr>
        <w:t>MCMC) and assessing convergence would be computationally expensive</w:t>
      </w:r>
      <w:r w:rsidRPr="001057CB">
        <w:rPr>
          <w:rFonts w:ascii="Times New Roman" w:hAnsi="Times New Roman"/>
          <w:sz w:val="20"/>
          <w:szCs w:val="20"/>
        </w:rPr>
        <w:t>,</w:t>
      </w:r>
      <w:r w:rsidR="00820ABE" w:rsidRPr="001057CB">
        <w:rPr>
          <w:rFonts w:ascii="Times New Roman" w:hAnsi="Times New Roman"/>
          <w:sz w:val="20"/>
          <w:szCs w:val="20"/>
        </w:rPr>
        <w:t xml:space="preserve"> and sensitivity </w:t>
      </w:r>
      <w:r w:rsidR="003D0C07" w:rsidRPr="001057CB">
        <w:rPr>
          <w:rFonts w:ascii="Times New Roman" w:hAnsi="Times New Roman"/>
          <w:sz w:val="20"/>
          <w:szCs w:val="20"/>
        </w:rPr>
        <w:t xml:space="preserve">analyses </w:t>
      </w:r>
      <w:r w:rsidR="00820ABE" w:rsidRPr="001057CB">
        <w:rPr>
          <w:rFonts w:ascii="Times New Roman" w:hAnsi="Times New Roman"/>
          <w:sz w:val="20"/>
          <w:szCs w:val="20"/>
        </w:rPr>
        <w:t xml:space="preserve">would be intractable. However, a </w:t>
      </w:r>
      <w:r w:rsidR="003D0C07" w:rsidRPr="001057CB">
        <w:rPr>
          <w:rFonts w:ascii="Times New Roman" w:hAnsi="Times New Roman"/>
          <w:sz w:val="20"/>
          <w:szCs w:val="20"/>
        </w:rPr>
        <w:t xml:space="preserve">MCMC </w:t>
      </w:r>
      <w:r w:rsidR="00820ABE" w:rsidRPr="001057CB">
        <w:rPr>
          <w:rFonts w:ascii="Times New Roman" w:hAnsi="Times New Roman"/>
          <w:sz w:val="20"/>
          <w:szCs w:val="20"/>
        </w:rPr>
        <w:t>algorithm using spike-and-slab priors allow</w:t>
      </w:r>
      <w:r w:rsidR="003D0C07" w:rsidRPr="001057CB">
        <w:rPr>
          <w:rFonts w:ascii="Times New Roman" w:hAnsi="Times New Roman"/>
          <w:sz w:val="20"/>
          <w:szCs w:val="20"/>
        </w:rPr>
        <w:t>ed</w:t>
      </w:r>
      <w:r w:rsidR="00820ABE" w:rsidRPr="001057CB">
        <w:rPr>
          <w:rFonts w:ascii="Times New Roman" w:hAnsi="Times New Roman"/>
          <w:sz w:val="20"/>
          <w:szCs w:val="20"/>
        </w:rPr>
        <w:t xml:space="preserve"> us to estimate the parameters of the model as well as search through the model space for the predictor combinations that best describe the data.</w:t>
      </w:r>
    </w:p>
    <w:p w14:paraId="66AB8D8C" w14:textId="77777777" w:rsidR="00907675" w:rsidRPr="001057CB" w:rsidRDefault="00907675" w:rsidP="003159E3">
      <w:pPr>
        <w:spacing w:line="480" w:lineRule="auto"/>
        <w:rPr>
          <w:rFonts w:ascii="Times New Roman" w:hAnsi="Times New Roman"/>
          <w:sz w:val="20"/>
          <w:szCs w:val="20"/>
        </w:rPr>
      </w:pPr>
    </w:p>
    <w:p w14:paraId="5E621B2F" w14:textId="7E67B6B7" w:rsidR="00907675" w:rsidRPr="001057CB" w:rsidRDefault="00907675" w:rsidP="003159E3">
      <w:pPr>
        <w:spacing w:line="480" w:lineRule="auto"/>
        <w:rPr>
          <w:rFonts w:ascii="Times New Roman" w:hAnsi="Times New Roman"/>
          <w:sz w:val="20"/>
          <w:szCs w:val="20"/>
        </w:rPr>
      </w:pPr>
      <w:r w:rsidRPr="001057CB">
        <w:rPr>
          <w:rFonts w:ascii="Times New Roman" w:hAnsi="Times New Roman"/>
          <w:sz w:val="20"/>
          <w:szCs w:val="20"/>
        </w:rPr>
        <w:t>Spike-and-slab prio</w:t>
      </w:r>
      <w:r w:rsidR="00416EFE" w:rsidRPr="001057CB">
        <w:rPr>
          <w:rFonts w:ascii="Times New Roman" w:hAnsi="Times New Roman"/>
          <w:sz w:val="20"/>
          <w:szCs w:val="20"/>
        </w:rPr>
        <w:t>rs have been described elsewhere</w:t>
      </w:r>
      <w:r w:rsidR="00F14627" w:rsidRPr="001057CB">
        <w:rPr>
          <w:rFonts w:ascii="Times New Roman" w:hAnsi="Times New Roman"/>
          <w:sz w:val="20"/>
          <w:szCs w:val="20"/>
        </w:rPr>
        <w:fldChar w:fldCharType="begin" w:fldLock="1"/>
      </w:r>
      <w:r w:rsidR="00916BD1">
        <w:rPr>
          <w:rFonts w:ascii="Times New Roman" w:hAnsi="Times New Roman"/>
          <w:sz w:val="20"/>
          <w:szCs w:val="20"/>
        </w:rPr>
        <w:instrText>ADDIN CSL_CITATION { "citationItems" : [ { "id" : "ITEM-1", "itemData" : { "DOI" : "10.1080/01621459.1993.10476353", "ISBN" : "263627362", "ISSN" : "0162-1459", "abstract" : "Abstract A crucial problem in building a multiple regression model is the selection of predictors to include. The main thrust of this article is to propose and develop a procedure that uses probabilistic considerations for selecting promising subsets. This procedure entails embedding the regression setup in a hierarchical normal mixture model where latent variables are used to identify subset choices. In this framework the promising subsets of predictors can be identified as those with higher posterior probability. The computational burden is then alleviated by using the Gibbs sampler to indirectly sample from this multinomial posterior distribution on the set of possible subset choices. Those subsets with higher probability?the promising ones?can then be identified by their more frequent appearance in the Gibbs sample. Abstract A crucial problem in building a multiple regression model is the selection of predictors to include. The main thrust of this article is to propose and develop a procedure that uses probabilistic considerations for selecting promising subsets. This procedure entails embedding the regression setup in a hierarchical normal mixture model where latent variables are used to identify subset choices. In this framework the promising subsets of predictors can be identified as those with higher posterior probability. The computational burden is then alleviated by using the Gibbs sampler to indirectly sample from this multinomial posterior distribution on the set of possible subset choices. Those subsets with higher probability?the promising ones?can then be identified by their more frequent appearance in the Gibbs sample.", "author" : [ { "dropping-particle" : "", "family" : "George", "given" : "Edward I.", "non-dropping-particle" : "", "parse-names" : false, "suffix" : "" }, { "dropping-particle" : "", "family" : "McCulloch", "given" : "Robert E.", "non-dropping-particle" : "", "parse-names" : false, "suffix" : "" } ], "container-title" : "Journal of the American Statistical Association", "id" : "ITEM-1", "issue" : "423", "issued" : { "date-parts" : [ [ "1993" ] ] }, "page" : "881-889", "title" : "Variable Selection via Gibbs Sampling", "type" : "article", "volume" : "88" }, "uris" : [ "http://www.mendeley.com/documents/?uuid=482e5559-0b7f-43ba-8aae-9867e5069b5f" ] }, { "id" : "ITEM-2", "itemData" : { "DOI" : "10.1214/009053604000001147", "ISBN" : "0090-5364", "ISSN" : "00905364", "PMID" : "3448605", "abstract" : "Variable selection in the linear regression model takes many apparent faces from both frequentist and Bayesian standpoints. In this paper we introduce a variable selection method referred to as a rescaled spike and slab model. We study the importance of prior hierarchical specifications and draw connections to frequentist generalized ridge regression estimation. Specifically, we study the usefulness of continuous bimodal priors to model hypervariance parameters, and the effect scaling has on the posterior mean through its relationship to penalization. Several model selection strategies, some frequentist and some Bayesian in nature, are developed and studied theoretically. We demonstrate the importance of selective shrinkage for effective variable selection in terms of risk misclassification, and show this is achieved using the posterior from a rescaled spike and slab model. We also show how to verify a procedure's ability to reduce model uncertainty in finite samples using a specialized forward selection strategy. Using this tool, we illustrate the effectiveness of rescaled spike and slab models in reducing model uncertainty.", "author" : [ { "dropping-particle" : "", "family" : "Ishwaran", "given" : "Hemant", "non-dropping-particle" : "", "parse-names" : false, "suffix" : "" }, { "dropping-particle" : "", "family" : "Rao", "given" : "J. Sunil", "non-dropping-particle" : "", "parse-names" : false, "suffix" : "" } ], "container-title" : "Annals of Statistics", "id" : "ITEM-2", "issue" : "2", "issued" : { "date-parts" : [ [ "2005" ] ] }, "page" : "730-773", "title" : "Spike and slab variable selection: Frequentist and bayesian strategies", "type" : "article-journal", "volume" : "33" }, "uris" : [ "http://www.mendeley.com/documents/?uuid=097f72a0-bbf5-49ef-b3b3-a13a1f570e55" ] } ], "mendeley" : { "formattedCitation" : "[23,24]", "plainTextFormattedCitation" : "[23,24]", "previouslyFormattedCitation" : "[24,25]" }, "properties" : { "noteIndex" : 0 }, "schema" : "https://github.com/citation-style-language/schema/raw/master/csl-citation.json" }</w:instrText>
      </w:r>
      <w:r w:rsidR="00F14627" w:rsidRPr="001057CB">
        <w:rPr>
          <w:rFonts w:ascii="Times New Roman" w:hAnsi="Times New Roman"/>
          <w:sz w:val="20"/>
          <w:szCs w:val="20"/>
        </w:rPr>
        <w:fldChar w:fldCharType="separate"/>
      </w:r>
      <w:r w:rsidR="00916BD1" w:rsidRPr="00916BD1">
        <w:rPr>
          <w:rFonts w:ascii="Times New Roman" w:hAnsi="Times New Roman"/>
          <w:noProof/>
          <w:sz w:val="20"/>
          <w:szCs w:val="20"/>
        </w:rPr>
        <w:t>[23,24]</w:t>
      </w:r>
      <w:r w:rsidR="00F14627" w:rsidRPr="001057CB">
        <w:rPr>
          <w:rFonts w:ascii="Times New Roman" w:hAnsi="Times New Roman"/>
          <w:sz w:val="20"/>
          <w:szCs w:val="20"/>
        </w:rPr>
        <w:fldChar w:fldCharType="end"/>
      </w:r>
      <w:r w:rsidRPr="001057CB">
        <w:rPr>
          <w:rFonts w:ascii="Times New Roman" w:hAnsi="Times New Roman"/>
          <w:sz w:val="20"/>
          <w:szCs w:val="20"/>
        </w:rPr>
        <w:t xml:space="preserve">, but briefly, this method consists of providing two latent priors for the coefficient for each predictor; one latent prior is (typically) a Bernoulli draw that determines whether the coefficient for a given prediction is set to zero or whether the coefficient takes the value of the second latent prior, a continuous parameter normally distributed with large prior variance. We replaced the typical Bernoulli-distributed latent variable with a categorically-distributed variable that would determine if a predictor was 1) excluded from the model, 2) included in the model as a predictor of the intercept </w:t>
      </w:r>
      <w:r w:rsidR="00CE1AFF" w:rsidRPr="001057CB">
        <w:rPr>
          <w:rFonts w:ascii="Times New Roman" w:hAnsi="Times New Roman"/>
          <w:sz w:val="20"/>
          <w:szCs w:val="20"/>
        </w:rPr>
        <w:t>(</w:t>
      </w:r>
      <w:r w:rsidR="00CE1AFF" w:rsidRPr="0095479E">
        <w:rPr>
          <w:rFonts w:ascii="Times New Roman" w:hAnsi="Times New Roman"/>
          <w:b/>
          <w:i/>
          <w:sz w:val="20"/>
          <w:szCs w:val="20"/>
        </w:rPr>
        <w:t>B</w:t>
      </w:r>
      <w:r w:rsidR="00CE1AFF" w:rsidRPr="0095479E">
        <w:rPr>
          <w:rFonts w:ascii="Times New Roman" w:hAnsi="Times New Roman"/>
          <w:b/>
          <w:sz w:val="20"/>
          <w:szCs w:val="20"/>
          <w:vertAlign w:val="subscript"/>
        </w:rPr>
        <w:t>0,</w:t>
      </w:r>
      <w:r w:rsidR="00CE1AFF" w:rsidRPr="0095479E">
        <w:rPr>
          <w:rFonts w:ascii="Times New Roman" w:hAnsi="Times New Roman"/>
          <w:b/>
          <w:i/>
          <w:sz w:val="20"/>
          <w:szCs w:val="20"/>
          <w:vertAlign w:val="subscript"/>
        </w:rPr>
        <w:t>j</w:t>
      </w:r>
      <w:r w:rsidR="00CE1AFF" w:rsidRPr="001057CB">
        <w:rPr>
          <w:rFonts w:ascii="Times New Roman" w:hAnsi="Times New Roman"/>
          <w:sz w:val="20"/>
          <w:szCs w:val="20"/>
        </w:rPr>
        <w:t xml:space="preserve">) </w:t>
      </w:r>
      <w:r w:rsidRPr="001057CB">
        <w:rPr>
          <w:rFonts w:ascii="Times New Roman" w:hAnsi="Times New Roman"/>
          <w:sz w:val="20"/>
          <w:szCs w:val="20"/>
        </w:rPr>
        <w:t>only, or 3) entered the model as a predictor of the intercept as well as the slopes</w:t>
      </w:r>
      <w:r w:rsidR="00CE1AFF" w:rsidRPr="001057CB">
        <w:rPr>
          <w:rFonts w:ascii="Times New Roman" w:hAnsi="Times New Roman"/>
          <w:sz w:val="20"/>
          <w:szCs w:val="20"/>
        </w:rPr>
        <w:t xml:space="preserve"> (</w:t>
      </w:r>
      <w:r w:rsidR="00CE1AFF" w:rsidRPr="0095479E">
        <w:rPr>
          <w:rFonts w:ascii="Times New Roman" w:hAnsi="Times New Roman"/>
          <w:b/>
          <w:i/>
          <w:sz w:val="20"/>
          <w:szCs w:val="20"/>
        </w:rPr>
        <w:t>B</w:t>
      </w:r>
      <w:r w:rsidR="00CE1AFF" w:rsidRPr="0095479E">
        <w:rPr>
          <w:rFonts w:ascii="Times New Roman" w:hAnsi="Times New Roman"/>
          <w:b/>
          <w:i/>
          <w:sz w:val="20"/>
          <w:szCs w:val="20"/>
          <w:vertAlign w:val="subscript"/>
        </w:rPr>
        <w:t>a</w:t>
      </w:r>
      <w:r w:rsidR="00CE1AFF" w:rsidRPr="0095479E">
        <w:rPr>
          <w:rFonts w:ascii="Times New Roman" w:hAnsi="Times New Roman"/>
          <w:b/>
          <w:sz w:val="20"/>
          <w:szCs w:val="20"/>
          <w:vertAlign w:val="subscript"/>
        </w:rPr>
        <w:t>,</w:t>
      </w:r>
      <w:r w:rsidR="00CE1AFF" w:rsidRPr="0095479E">
        <w:rPr>
          <w:rFonts w:ascii="Times New Roman" w:hAnsi="Times New Roman"/>
          <w:b/>
          <w:i/>
          <w:sz w:val="20"/>
          <w:szCs w:val="20"/>
          <w:vertAlign w:val="subscript"/>
        </w:rPr>
        <w:t>j</w:t>
      </w:r>
      <w:r w:rsidR="00CE1AFF" w:rsidRPr="001057CB">
        <w:rPr>
          <w:rFonts w:ascii="Times New Roman" w:hAnsi="Times New Roman"/>
          <w:sz w:val="20"/>
          <w:szCs w:val="20"/>
        </w:rPr>
        <w:t>)</w:t>
      </w:r>
      <w:r w:rsidRPr="001057CB">
        <w:rPr>
          <w:rFonts w:ascii="Times New Roman" w:hAnsi="Times New Roman"/>
          <w:sz w:val="20"/>
          <w:szCs w:val="20"/>
        </w:rPr>
        <w:t>. We then estimated the model using a Metropolis-Hastings algorithm that not only samples from the posterior distribution of the model parameters, but that also samples from the model space via a random walk with a “step-size” equal to one more or one fewer predictor in the model.</w:t>
      </w:r>
      <w:r w:rsidR="0000298A" w:rsidRPr="001057CB">
        <w:rPr>
          <w:rFonts w:ascii="Times New Roman" w:hAnsi="Times New Roman"/>
          <w:sz w:val="20"/>
          <w:szCs w:val="20"/>
        </w:rPr>
        <w:t xml:space="preserve"> Specific details about how we employed spike-and-slab priors in our analyses are below.</w:t>
      </w:r>
    </w:p>
    <w:p w14:paraId="3B561A8B" w14:textId="77777777" w:rsidR="00AB521F" w:rsidRPr="001057CB" w:rsidRDefault="00AB521F" w:rsidP="003159E3">
      <w:pPr>
        <w:spacing w:line="480" w:lineRule="auto"/>
        <w:rPr>
          <w:rFonts w:ascii="Times New Roman" w:hAnsi="Times New Roman"/>
          <w:sz w:val="20"/>
          <w:szCs w:val="20"/>
        </w:rPr>
      </w:pPr>
    </w:p>
    <w:p w14:paraId="71451086" w14:textId="77777777" w:rsidR="00AB521F" w:rsidRPr="001057CB" w:rsidRDefault="005477F5" w:rsidP="003159E3">
      <w:pPr>
        <w:pStyle w:val="Heading2"/>
        <w:spacing w:line="480" w:lineRule="auto"/>
        <w:rPr>
          <w:rFonts w:ascii="Times New Roman" w:hAnsi="Times New Roman"/>
          <w:b/>
          <w:i/>
          <w:color w:val="auto"/>
          <w:sz w:val="20"/>
          <w:szCs w:val="20"/>
        </w:rPr>
      </w:pPr>
      <w:r w:rsidRPr="001057CB">
        <w:rPr>
          <w:rFonts w:ascii="Times New Roman" w:hAnsi="Times New Roman"/>
          <w:b/>
          <w:i/>
          <w:color w:val="auto"/>
          <w:sz w:val="20"/>
          <w:szCs w:val="20"/>
        </w:rPr>
        <w:t>Characterizing the model space</w:t>
      </w:r>
    </w:p>
    <w:p w14:paraId="0197D035" w14:textId="6944686C"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 xml:space="preserve">Ordinarily, the number of models that may include </w:t>
      </w:r>
      <w:r w:rsidR="00F70B2E" w:rsidRPr="001057CB">
        <w:rPr>
          <w:rFonts w:ascii="Times New Roman" w:hAnsi="Times New Roman"/>
          <w:sz w:val="20"/>
          <w:szCs w:val="20"/>
        </w:rPr>
        <w:t xml:space="preserve">any </w:t>
      </w:r>
      <w:r w:rsidR="00F70B2E" w:rsidRPr="00EE0615">
        <w:rPr>
          <w:rFonts w:ascii="Times New Roman" w:hAnsi="Times New Roman"/>
          <w:b/>
          <w:i/>
          <w:sz w:val="20"/>
          <w:szCs w:val="20"/>
        </w:rPr>
        <w:t>m</w:t>
      </w:r>
      <w:r w:rsidRPr="001057CB">
        <w:rPr>
          <w:rFonts w:ascii="Times New Roman" w:hAnsi="Times New Roman"/>
          <w:sz w:val="20"/>
          <w:szCs w:val="20"/>
        </w:rPr>
        <w:t xml:space="preserve"> predictors of a total </w:t>
      </w:r>
      <w:r w:rsidR="00F70B2E" w:rsidRPr="0095479E">
        <w:rPr>
          <w:rFonts w:ascii="Times New Roman" w:hAnsi="Times New Roman"/>
          <w:b/>
          <w:i/>
          <w:sz w:val="20"/>
          <w:szCs w:val="20"/>
        </w:rPr>
        <w:t>p</w:t>
      </w:r>
      <w:r w:rsidR="00F70B2E" w:rsidRPr="001057CB">
        <w:rPr>
          <w:rFonts w:ascii="Times New Roman" w:hAnsi="Times New Roman"/>
          <w:sz w:val="20"/>
          <w:szCs w:val="20"/>
        </w:rPr>
        <w:t xml:space="preserve"> </w:t>
      </w:r>
      <w:r w:rsidRPr="001057CB">
        <w:rPr>
          <w:rFonts w:ascii="Times New Roman" w:hAnsi="Times New Roman"/>
          <w:sz w:val="20"/>
          <w:szCs w:val="20"/>
        </w:rPr>
        <w:t xml:space="preserve">predictors is </w:t>
      </w:r>
      <m:oMath>
        <m:nary>
          <m:naryPr>
            <m:chr m:val="∑"/>
            <m:limLoc m:val="subSup"/>
            <m:ctrlPr>
              <w:rPr>
                <w:rFonts w:ascii="Cambria Math" w:hAnsi="Cambria Math"/>
                <w:b/>
                <w:i/>
                <w:sz w:val="20"/>
                <w:szCs w:val="20"/>
              </w:rPr>
            </m:ctrlPr>
          </m:naryPr>
          <m:sub>
            <m:r>
              <m:rPr>
                <m:sty m:val="bi"/>
              </m:rPr>
              <w:rPr>
                <w:rFonts w:ascii="Cambria Math" w:hAnsi="Cambria Math"/>
                <w:sz w:val="20"/>
                <w:szCs w:val="20"/>
              </w:rPr>
              <m:t>m=0</m:t>
            </m:r>
          </m:sub>
          <m:sup>
            <m:r>
              <m:rPr>
                <m:sty m:val="bi"/>
              </m:rPr>
              <w:rPr>
                <w:rFonts w:ascii="Cambria Math" w:hAnsi="Cambria Math"/>
                <w:sz w:val="20"/>
                <w:szCs w:val="20"/>
              </w:rPr>
              <m:t>p</m:t>
            </m:r>
          </m:sup>
          <m:e>
            <m:d>
              <m:dPr>
                <m:ctrlPr>
                  <w:rPr>
                    <w:rFonts w:ascii="Cambria Math" w:hAnsi="Cambria Math"/>
                    <w:b/>
                    <w:i/>
                    <w:sz w:val="20"/>
                    <w:szCs w:val="20"/>
                  </w:rPr>
                </m:ctrlPr>
              </m:dPr>
              <m:e>
                <m:f>
                  <m:fPr>
                    <m:type m:val="noBar"/>
                    <m:ctrlPr>
                      <w:rPr>
                        <w:rFonts w:ascii="Cambria Math" w:hAnsi="Cambria Math"/>
                        <w:b/>
                        <w:i/>
                        <w:sz w:val="20"/>
                        <w:szCs w:val="20"/>
                      </w:rPr>
                    </m:ctrlPr>
                  </m:fPr>
                  <m:num>
                    <m:r>
                      <m:rPr>
                        <m:sty m:val="bi"/>
                      </m:rPr>
                      <w:rPr>
                        <w:rFonts w:ascii="Cambria Math" w:hAnsi="Cambria Math"/>
                        <w:sz w:val="20"/>
                        <w:szCs w:val="20"/>
                      </w:rPr>
                      <m:t>p</m:t>
                    </m:r>
                  </m:num>
                  <m:den>
                    <m:r>
                      <m:rPr>
                        <m:sty m:val="bi"/>
                      </m:rPr>
                      <w:rPr>
                        <w:rFonts w:ascii="Cambria Math" w:hAnsi="Cambria Math"/>
                        <w:sz w:val="20"/>
                        <w:szCs w:val="20"/>
                      </w:rPr>
                      <m:t>m</m:t>
                    </m:r>
                  </m:den>
                </m:f>
              </m:e>
            </m:d>
          </m:e>
        </m:nary>
      </m:oMath>
      <w:r w:rsidRPr="001057CB">
        <w:rPr>
          <w:rFonts w:ascii="Times New Roman" w:hAnsi="Times New Roman"/>
          <w:sz w:val="20"/>
          <w:szCs w:val="20"/>
        </w:rPr>
        <w:t xml:space="preserve">= </w:t>
      </w:r>
      <w:r w:rsidRPr="0095479E">
        <w:rPr>
          <w:rFonts w:ascii="Times New Roman" w:hAnsi="Times New Roman"/>
          <w:b/>
          <w:sz w:val="20"/>
          <w:szCs w:val="20"/>
        </w:rPr>
        <w:t>2</w:t>
      </w:r>
      <w:r w:rsidR="00F70B2E" w:rsidRPr="0095479E">
        <w:rPr>
          <w:rFonts w:ascii="Times New Roman" w:hAnsi="Times New Roman"/>
          <w:b/>
          <w:i/>
          <w:sz w:val="20"/>
          <w:szCs w:val="20"/>
          <w:vertAlign w:val="superscript"/>
        </w:rPr>
        <w:t>p</w:t>
      </w:r>
      <w:r w:rsidRPr="0095479E">
        <w:rPr>
          <w:rFonts w:ascii="Times New Roman" w:hAnsi="Times New Roman"/>
          <w:b/>
          <w:sz w:val="20"/>
          <w:szCs w:val="20"/>
        </w:rPr>
        <w:t>.</w:t>
      </w:r>
      <w:r w:rsidRPr="001057CB">
        <w:rPr>
          <w:rFonts w:ascii="Times New Roman" w:hAnsi="Times New Roman"/>
          <w:sz w:val="20"/>
          <w:szCs w:val="20"/>
        </w:rPr>
        <w:t xml:space="preserve"> The model space expands considerably if one then tests any combination of the interaction between a variable other than one of the</w:t>
      </w:r>
      <w:r w:rsidR="00F70B2E" w:rsidRPr="001057CB">
        <w:rPr>
          <w:rFonts w:ascii="Times New Roman" w:hAnsi="Times New Roman"/>
          <w:i/>
          <w:sz w:val="20"/>
          <w:szCs w:val="20"/>
        </w:rPr>
        <w:t xml:space="preserve"> </w:t>
      </w:r>
      <w:r w:rsidR="00F70B2E" w:rsidRPr="0095479E">
        <w:rPr>
          <w:rFonts w:ascii="Times New Roman" w:hAnsi="Times New Roman"/>
          <w:b/>
          <w:i/>
          <w:sz w:val="20"/>
          <w:szCs w:val="20"/>
        </w:rPr>
        <w:t>p</w:t>
      </w:r>
      <w:r w:rsidR="00F70B2E" w:rsidRPr="001057CB">
        <w:rPr>
          <w:rFonts w:ascii="Times New Roman" w:hAnsi="Times New Roman"/>
          <w:i/>
          <w:sz w:val="20"/>
          <w:szCs w:val="20"/>
        </w:rPr>
        <w:t xml:space="preserve"> </w:t>
      </w:r>
      <w:r w:rsidRPr="001057CB">
        <w:rPr>
          <w:rFonts w:ascii="Times New Roman" w:hAnsi="Times New Roman"/>
          <w:sz w:val="20"/>
          <w:szCs w:val="20"/>
        </w:rPr>
        <w:t xml:space="preserve">predictors and any of the </w:t>
      </w:r>
      <w:r w:rsidRPr="00EE0615">
        <w:rPr>
          <w:rFonts w:ascii="Times New Roman" w:hAnsi="Times New Roman"/>
          <w:b/>
          <w:i/>
          <w:sz w:val="20"/>
          <w:szCs w:val="20"/>
        </w:rPr>
        <w:t>m</w:t>
      </w:r>
      <w:r w:rsidRPr="001057CB">
        <w:rPr>
          <w:rFonts w:ascii="Times New Roman" w:hAnsi="Times New Roman"/>
          <w:sz w:val="20"/>
          <w:szCs w:val="20"/>
        </w:rPr>
        <w:t xml:space="preserve"> selected main effects. Note that one must include the </w:t>
      </w:r>
      <w:r w:rsidR="005A7A2C" w:rsidRPr="001057CB">
        <w:rPr>
          <w:rFonts w:ascii="Times New Roman" w:hAnsi="Times New Roman"/>
          <w:sz w:val="20"/>
          <w:szCs w:val="20"/>
        </w:rPr>
        <w:t>predictor</w:t>
      </w:r>
      <w:r w:rsidRPr="001057CB">
        <w:rPr>
          <w:rFonts w:ascii="Times New Roman" w:hAnsi="Times New Roman"/>
          <w:sz w:val="20"/>
          <w:szCs w:val="20"/>
        </w:rPr>
        <w:t xml:space="preserve"> as a fixed effect of the intercept if one wants to include it as well as a fixed effect of the slope.</w:t>
      </w:r>
    </w:p>
    <w:p w14:paraId="69E597E8" w14:textId="77777777" w:rsidR="00CE1AFF" w:rsidRPr="001057CB" w:rsidRDefault="00CE1AFF" w:rsidP="003159E3">
      <w:pPr>
        <w:spacing w:line="480" w:lineRule="auto"/>
        <w:rPr>
          <w:rFonts w:ascii="Times New Roman" w:hAnsi="Times New Roman"/>
          <w:sz w:val="20"/>
          <w:szCs w:val="20"/>
        </w:rPr>
      </w:pPr>
    </w:p>
    <w:p w14:paraId="381B278B" w14:textId="79E16741"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 xml:space="preserve">Therefore, the number of models that would be tested if we were to estimate all the models combinations described in this paper would be </w:t>
      </w:r>
      <w:r w:rsidR="00F70B2E" w:rsidRPr="0095479E">
        <w:rPr>
          <w:rFonts w:ascii="Times New Roman" w:hAnsi="Times New Roman"/>
          <w:b/>
          <w:sz w:val="20"/>
          <w:szCs w:val="20"/>
        </w:rPr>
        <w:t>3</w:t>
      </w:r>
      <w:r w:rsidR="00F70B2E" w:rsidRPr="0095479E">
        <w:rPr>
          <w:rFonts w:ascii="Times New Roman" w:hAnsi="Times New Roman"/>
          <w:b/>
          <w:i/>
          <w:sz w:val="20"/>
          <w:szCs w:val="20"/>
          <w:vertAlign w:val="superscript"/>
        </w:rPr>
        <w:t>p</w:t>
      </w:r>
      <w:r w:rsidR="00A001F6" w:rsidRPr="001057CB">
        <w:rPr>
          <w:rFonts w:ascii="Times New Roman" w:hAnsi="Times New Roman"/>
          <w:sz w:val="20"/>
          <w:szCs w:val="20"/>
        </w:rPr>
        <w:t>:</w:t>
      </w:r>
    </w:p>
    <w:p w14:paraId="0179F945" w14:textId="26360946" w:rsidR="007B7FBB" w:rsidRPr="0095479E" w:rsidRDefault="007B7FBB" w:rsidP="003159E3">
      <w:pPr>
        <w:spacing w:line="480" w:lineRule="auto"/>
        <w:rPr>
          <w:rFonts w:ascii="Times New Roman" w:hAnsi="Times New Roman"/>
          <w:b/>
          <w:i/>
          <w:sz w:val="20"/>
          <w:szCs w:val="20"/>
          <w:vertAlign w:val="superscript"/>
        </w:rPr>
      </w:pPr>
      <w:r w:rsidRPr="001057CB">
        <w:rPr>
          <w:rFonts w:ascii="Times New Roman" w:hAnsi="Times New Roman"/>
          <w:sz w:val="20"/>
          <w:szCs w:val="20"/>
        </w:rPr>
        <w:br/>
      </w:r>
      <m:oMathPara>
        <m:oMath>
          <m:nary>
            <m:naryPr>
              <m:chr m:val="∑"/>
              <m:limLoc m:val="subSup"/>
              <m:ctrlPr>
                <w:rPr>
                  <w:rFonts w:ascii="Cambria Math" w:hAnsi="Cambria Math"/>
                  <w:b/>
                  <w:i/>
                  <w:sz w:val="20"/>
                  <w:szCs w:val="20"/>
                </w:rPr>
              </m:ctrlPr>
            </m:naryPr>
            <m:sub>
              <m:r>
                <m:rPr>
                  <m:sty m:val="bi"/>
                </m:rPr>
                <w:rPr>
                  <w:rFonts w:ascii="Cambria Math" w:hAnsi="Cambria Math"/>
                  <w:sz w:val="20"/>
                  <w:szCs w:val="20"/>
                </w:rPr>
                <m:t>m=0</m:t>
              </m:r>
            </m:sub>
            <m:sup>
              <m:r>
                <m:rPr>
                  <m:sty m:val="bi"/>
                </m:rPr>
                <w:rPr>
                  <w:rFonts w:ascii="Cambria Math" w:hAnsi="Cambria Math"/>
                  <w:sz w:val="20"/>
                  <w:szCs w:val="20"/>
                </w:rPr>
                <m:t>p</m:t>
              </m:r>
            </m:sup>
            <m:e>
              <m:d>
                <m:dPr>
                  <m:ctrlPr>
                    <w:rPr>
                      <w:rFonts w:ascii="Cambria Math" w:hAnsi="Cambria Math"/>
                      <w:b/>
                      <w:i/>
                      <w:sz w:val="20"/>
                      <w:szCs w:val="20"/>
                    </w:rPr>
                  </m:ctrlPr>
                </m:dPr>
                <m:e>
                  <m:f>
                    <m:fPr>
                      <m:type m:val="noBar"/>
                      <m:ctrlPr>
                        <w:rPr>
                          <w:rFonts w:ascii="Cambria Math" w:hAnsi="Cambria Math"/>
                          <w:b/>
                          <w:i/>
                          <w:sz w:val="20"/>
                          <w:szCs w:val="20"/>
                        </w:rPr>
                      </m:ctrlPr>
                    </m:fPr>
                    <m:num>
                      <m:r>
                        <m:rPr>
                          <m:sty m:val="bi"/>
                        </m:rPr>
                        <w:rPr>
                          <w:rFonts w:ascii="Cambria Math" w:hAnsi="Cambria Math"/>
                          <w:sz w:val="20"/>
                          <w:szCs w:val="20"/>
                        </w:rPr>
                        <m:t>p</m:t>
                      </m:r>
                    </m:num>
                    <m:den>
                      <m:r>
                        <m:rPr>
                          <m:sty m:val="bi"/>
                        </m:rPr>
                        <w:rPr>
                          <w:rFonts w:ascii="Cambria Math" w:hAnsi="Cambria Math"/>
                          <w:sz w:val="20"/>
                          <w:szCs w:val="20"/>
                        </w:rPr>
                        <m:t>m</m:t>
                      </m:r>
                    </m:den>
                  </m:f>
                </m:e>
              </m:d>
            </m:e>
          </m:nary>
          <m:nary>
            <m:naryPr>
              <m:chr m:val="∑"/>
              <m:limLoc m:val="subSup"/>
              <m:ctrlPr>
                <w:rPr>
                  <w:rFonts w:ascii="Cambria Math" w:hAnsi="Cambria Math"/>
                  <w:b/>
                  <w:i/>
                  <w:sz w:val="20"/>
                  <w:szCs w:val="20"/>
                </w:rPr>
              </m:ctrlPr>
            </m:naryPr>
            <m:sub>
              <m:r>
                <m:rPr>
                  <m:sty m:val="bi"/>
                </m:rPr>
                <w:rPr>
                  <w:rFonts w:ascii="Cambria Math" w:hAnsi="Cambria Math"/>
                  <w:sz w:val="20"/>
                  <w:szCs w:val="20"/>
                </w:rPr>
                <m:t>n=0</m:t>
              </m:r>
            </m:sub>
            <m:sup>
              <m:r>
                <m:rPr>
                  <m:sty m:val="bi"/>
                </m:rPr>
                <w:rPr>
                  <w:rFonts w:ascii="Cambria Math" w:hAnsi="Cambria Math"/>
                  <w:sz w:val="20"/>
                  <w:szCs w:val="20"/>
                </w:rPr>
                <m:t>m</m:t>
              </m:r>
            </m:sup>
            <m:e>
              <m:d>
                <m:dPr>
                  <m:ctrlPr>
                    <w:rPr>
                      <w:rFonts w:ascii="Cambria Math" w:hAnsi="Cambria Math"/>
                      <w:b/>
                      <w:i/>
                      <w:sz w:val="20"/>
                      <w:szCs w:val="20"/>
                    </w:rPr>
                  </m:ctrlPr>
                </m:dPr>
                <m:e>
                  <m:f>
                    <m:fPr>
                      <m:type m:val="noBar"/>
                      <m:ctrlPr>
                        <w:rPr>
                          <w:rFonts w:ascii="Cambria Math" w:hAnsi="Cambria Math"/>
                          <w:b/>
                          <w:i/>
                          <w:sz w:val="20"/>
                          <w:szCs w:val="20"/>
                        </w:rPr>
                      </m:ctrlPr>
                    </m:fPr>
                    <m:num>
                      <m:r>
                        <m:rPr>
                          <m:sty m:val="bi"/>
                        </m:rPr>
                        <w:rPr>
                          <w:rFonts w:ascii="Cambria Math" w:hAnsi="Cambria Math"/>
                          <w:sz w:val="20"/>
                          <w:szCs w:val="20"/>
                        </w:rPr>
                        <m:t>m</m:t>
                      </m:r>
                    </m:num>
                    <m:den>
                      <m:r>
                        <m:rPr>
                          <m:sty m:val="bi"/>
                        </m:rPr>
                        <w:rPr>
                          <w:rFonts w:ascii="Cambria Math" w:hAnsi="Cambria Math"/>
                          <w:sz w:val="20"/>
                          <w:szCs w:val="20"/>
                        </w:rPr>
                        <m:t>n</m:t>
                      </m:r>
                    </m:den>
                  </m:f>
                </m:e>
              </m:d>
            </m:e>
          </m:nary>
          <m:r>
            <m:rPr>
              <m:sty m:val="bi"/>
            </m:rPr>
            <w:rPr>
              <w:rFonts w:ascii="Cambria Math" w:hAnsi="Cambria Math"/>
              <w:sz w:val="20"/>
              <w:szCs w:val="20"/>
            </w:rPr>
            <m:t>=</m:t>
          </m:r>
          <m:nary>
            <m:naryPr>
              <m:chr m:val="∑"/>
              <m:limLoc m:val="subSup"/>
              <m:ctrlPr>
                <w:rPr>
                  <w:rFonts w:ascii="Cambria Math" w:hAnsi="Cambria Math"/>
                  <w:b/>
                  <w:i/>
                  <w:sz w:val="20"/>
                  <w:szCs w:val="20"/>
                </w:rPr>
              </m:ctrlPr>
            </m:naryPr>
            <m:sub>
              <m:r>
                <m:rPr>
                  <m:sty m:val="bi"/>
                </m:rPr>
                <w:rPr>
                  <w:rFonts w:ascii="Cambria Math" w:hAnsi="Cambria Math"/>
                  <w:sz w:val="20"/>
                  <w:szCs w:val="20"/>
                </w:rPr>
                <m:t>m=0</m:t>
              </m:r>
            </m:sub>
            <m:sup>
              <m:r>
                <m:rPr>
                  <m:sty m:val="bi"/>
                </m:rPr>
                <w:rPr>
                  <w:rFonts w:ascii="Cambria Math" w:hAnsi="Cambria Math"/>
                  <w:sz w:val="20"/>
                  <w:szCs w:val="20"/>
                </w:rPr>
                <m:t>p</m:t>
              </m:r>
            </m:sup>
            <m:e>
              <m:d>
                <m:dPr>
                  <m:ctrlPr>
                    <w:rPr>
                      <w:rFonts w:ascii="Cambria Math" w:hAnsi="Cambria Math"/>
                      <w:b/>
                      <w:i/>
                      <w:sz w:val="20"/>
                      <w:szCs w:val="20"/>
                    </w:rPr>
                  </m:ctrlPr>
                </m:dPr>
                <m:e>
                  <m:f>
                    <m:fPr>
                      <m:type m:val="noBar"/>
                      <m:ctrlPr>
                        <w:rPr>
                          <w:rFonts w:ascii="Cambria Math" w:hAnsi="Cambria Math"/>
                          <w:b/>
                          <w:i/>
                          <w:sz w:val="20"/>
                          <w:szCs w:val="20"/>
                        </w:rPr>
                      </m:ctrlPr>
                    </m:fPr>
                    <m:num>
                      <m:r>
                        <m:rPr>
                          <m:sty m:val="bi"/>
                        </m:rPr>
                        <w:rPr>
                          <w:rFonts w:ascii="Cambria Math" w:hAnsi="Cambria Math"/>
                          <w:sz w:val="20"/>
                          <w:szCs w:val="20"/>
                        </w:rPr>
                        <m:t>p</m:t>
                      </m:r>
                    </m:num>
                    <m:den>
                      <m:r>
                        <m:rPr>
                          <m:sty m:val="bi"/>
                        </m:rPr>
                        <w:rPr>
                          <w:rFonts w:ascii="Cambria Math" w:hAnsi="Cambria Math"/>
                          <w:sz w:val="20"/>
                          <w:szCs w:val="20"/>
                        </w:rPr>
                        <m:t>m</m:t>
                      </m:r>
                    </m:den>
                  </m:f>
                </m:e>
              </m:d>
            </m:e>
          </m:nary>
          <m:sSup>
            <m:sSupPr>
              <m:ctrlPr>
                <w:rPr>
                  <w:rFonts w:ascii="Cambria Math" w:hAnsi="Cambria Math"/>
                  <w:b/>
                  <w:i/>
                  <w:sz w:val="20"/>
                  <w:szCs w:val="20"/>
                </w:rPr>
              </m:ctrlPr>
            </m:sSupPr>
            <m:e>
              <m:r>
                <m:rPr>
                  <m:sty m:val="bi"/>
                </m:rPr>
                <w:rPr>
                  <w:rFonts w:ascii="Cambria Math" w:hAnsi="Cambria Math"/>
                  <w:sz w:val="20"/>
                  <w:szCs w:val="20"/>
                </w:rPr>
                <m:t>2</m:t>
              </m:r>
            </m:e>
            <m:sup>
              <m:r>
                <m:rPr>
                  <m:sty m:val="bi"/>
                </m:rPr>
                <w:rPr>
                  <w:rFonts w:ascii="Cambria Math" w:hAnsi="Cambria Math"/>
                  <w:sz w:val="20"/>
                  <w:szCs w:val="20"/>
                </w:rPr>
                <m:t>m</m:t>
              </m:r>
            </m:sup>
          </m:sSup>
          <m:r>
            <m:rPr>
              <m:sty m:val="bi"/>
            </m:rPr>
            <w:rPr>
              <w:rFonts w:ascii="Cambria Math" w:hAnsi="Cambria Math"/>
              <w:sz w:val="20"/>
              <w:szCs w:val="20"/>
            </w:rPr>
            <m:t xml:space="preserve">=  </m:t>
          </m:r>
          <m:sSup>
            <m:sSupPr>
              <m:ctrlPr>
                <w:rPr>
                  <w:rFonts w:ascii="Cambria Math" w:hAnsi="Cambria Math"/>
                  <w:b/>
                  <w:i/>
                  <w:sz w:val="20"/>
                  <w:szCs w:val="20"/>
                </w:rPr>
              </m:ctrlPr>
            </m:sSupPr>
            <m:e>
              <m:r>
                <m:rPr>
                  <m:sty m:val="bi"/>
                </m:rPr>
                <w:rPr>
                  <w:rFonts w:ascii="Cambria Math" w:hAnsi="Cambria Math"/>
                  <w:sz w:val="20"/>
                  <w:szCs w:val="20"/>
                </w:rPr>
                <m:t>3</m:t>
              </m:r>
            </m:e>
            <m:sup>
              <m:r>
                <m:rPr>
                  <m:sty m:val="bi"/>
                </m:rPr>
                <w:rPr>
                  <w:rFonts w:ascii="Cambria Math" w:hAnsi="Cambria Math"/>
                  <w:sz w:val="20"/>
                  <w:szCs w:val="20"/>
                </w:rPr>
                <m:t>p</m:t>
              </m:r>
            </m:sup>
          </m:sSup>
        </m:oMath>
      </m:oMathPara>
    </w:p>
    <w:p w14:paraId="1CE05056" w14:textId="77777777" w:rsidR="007B7FBB" w:rsidRPr="001057CB" w:rsidRDefault="007B7FBB" w:rsidP="003159E3">
      <w:pPr>
        <w:spacing w:line="480" w:lineRule="auto"/>
        <w:rPr>
          <w:rFonts w:ascii="Times New Roman" w:hAnsi="Times New Roman"/>
          <w:sz w:val="20"/>
          <w:szCs w:val="20"/>
        </w:rPr>
      </w:pPr>
    </w:p>
    <w:p w14:paraId="274903C8" w14:textId="0E39B766"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Which is the solution to t</w:t>
      </w:r>
      <w:r w:rsidR="007B7FBB" w:rsidRPr="001057CB">
        <w:rPr>
          <w:rFonts w:ascii="Times New Roman" w:hAnsi="Times New Roman"/>
          <w:sz w:val="20"/>
          <w:szCs w:val="20"/>
        </w:rPr>
        <w:t>he ordinary generating function:</w:t>
      </w:r>
    </w:p>
    <w:p w14:paraId="4B360239" w14:textId="77777777" w:rsidR="00A001F6" w:rsidRPr="001057CB" w:rsidRDefault="00A001F6" w:rsidP="003159E3">
      <w:pPr>
        <w:spacing w:line="480" w:lineRule="auto"/>
        <w:rPr>
          <w:rFonts w:ascii="Times New Roman" w:hAnsi="Times New Roman"/>
          <w:sz w:val="20"/>
          <w:szCs w:val="20"/>
        </w:rPr>
      </w:pPr>
    </w:p>
    <w:p w14:paraId="3722D0B2" w14:textId="43E53850" w:rsidR="00AB521F" w:rsidRPr="0095479E" w:rsidRDefault="00916BD1" w:rsidP="003159E3">
      <w:pPr>
        <w:spacing w:line="480" w:lineRule="auto"/>
        <w:rPr>
          <w:rFonts w:ascii="Times New Roman" w:hAnsi="Times New Roman"/>
          <w:b/>
          <w:sz w:val="20"/>
          <w:szCs w:val="20"/>
        </w:rPr>
      </w:pPr>
      <m:oMathPara>
        <m:oMath>
          <m:nary>
            <m:naryPr>
              <m:chr m:val="∑"/>
              <m:limLoc m:val="subSup"/>
              <m:ctrlPr>
                <w:rPr>
                  <w:rFonts w:ascii="Cambria Math" w:hAnsi="Cambria Math"/>
                  <w:b/>
                  <w:i/>
                  <w:sz w:val="20"/>
                  <w:szCs w:val="20"/>
                </w:rPr>
              </m:ctrlPr>
            </m:naryPr>
            <m:sub>
              <m:r>
                <m:rPr>
                  <m:sty m:val="bi"/>
                </m:rPr>
                <w:rPr>
                  <w:rFonts w:ascii="Cambria Math" w:hAnsi="Cambria Math"/>
                  <w:sz w:val="20"/>
                  <w:szCs w:val="20"/>
                </w:rPr>
                <m:t>k</m:t>
              </m:r>
            </m:sub>
            <m:sup>
              <m:r>
                <m:rPr>
                  <m:sty m:val="bi"/>
                </m:rPr>
                <w:rPr>
                  <w:rFonts w:ascii="Cambria Math" w:hAnsi="Cambria Math"/>
                  <w:sz w:val="20"/>
                  <w:szCs w:val="20"/>
                </w:rPr>
                <m:t>n</m:t>
              </m:r>
            </m:sup>
            <m:e>
              <m:d>
                <m:dPr>
                  <m:ctrlPr>
                    <w:rPr>
                      <w:rFonts w:ascii="Cambria Math" w:hAnsi="Cambria Math"/>
                      <w:b/>
                      <w:i/>
                      <w:sz w:val="20"/>
                      <w:szCs w:val="20"/>
                    </w:rPr>
                  </m:ctrlPr>
                </m:dPr>
                <m:e>
                  <m:f>
                    <m:fPr>
                      <m:type m:val="noBar"/>
                      <m:ctrlPr>
                        <w:rPr>
                          <w:rFonts w:ascii="Cambria Math" w:hAnsi="Cambria Math"/>
                          <w:b/>
                          <w:i/>
                          <w:sz w:val="20"/>
                          <w:szCs w:val="20"/>
                        </w:rPr>
                      </m:ctrlPr>
                    </m:fPr>
                    <m:num>
                      <m:r>
                        <m:rPr>
                          <m:sty m:val="bi"/>
                        </m:rPr>
                        <w:rPr>
                          <w:rFonts w:ascii="Cambria Math" w:hAnsi="Cambria Math"/>
                          <w:sz w:val="20"/>
                          <w:szCs w:val="20"/>
                        </w:rPr>
                        <m:t>n</m:t>
                      </m:r>
                    </m:num>
                    <m:den>
                      <m:r>
                        <m:rPr>
                          <m:sty m:val="bi"/>
                        </m:rPr>
                        <w:rPr>
                          <w:rFonts w:ascii="Cambria Math" w:hAnsi="Cambria Math"/>
                          <w:sz w:val="20"/>
                          <w:szCs w:val="20"/>
                        </w:rPr>
                        <m:t>k</m:t>
                      </m:r>
                    </m:den>
                  </m:f>
                </m:e>
              </m:d>
            </m:e>
          </m:nary>
          <m:sSup>
            <m:sSupPr>
              <m:ctrlPr>
                <w:rPr>
                  <w:rFonts w:ascii="Cambria Math" w:hAnsi="Cambria Math"/>
                  <w:b/>
                  <w:i/>
                  <w:sz w:val="20"/>
                  <w:szCs w:val="20"/>
                </w:rPr>
              </m:ctrlPr>
            </m:sSupPr>
            <m:e>
              <m:r>
                <m:rPr>
                  <m:sty m:val="bi"/>
                </m:rPr>
                <w:rPr>
                  <w:rFonts w:ascii="Cambria Math" w:hAnsi="Cambria Math"/>
                  <w:sz w:val="20"/>
                  <w:szCs w:val="20"/>
                </w:rPr>
                <m:t>x</m:t>
              </m:r>
            </m:e>
            <m:sup>
              <m:r>
                <m:rPr>
                  <m:sty m:val="bi"/>
                </m:rPr>
                <w:rPr>
                  <w:rFonts w:ascii="Cambria Math" w:hAnsi="Cambria Math"/>
                  <w:sz w:val="20"/>
                  <w:szCs w:val="20"/>
                </w:rPr>
                <m:t>k</m:t>
              </m:r>
            </m:sup>
          </m:sSup>
          <m:r>
            <m:rPr>
              <m:sty m:val="bi"/>
            </m:rPr>
            <w:rPr>
              <w:rFonts w:ascii="Cambria Math" w:hAnsi="Cambria Math"/>
              <w:sz w:val="20"/>
              <w:szCs w:val="20"/>
            </w:rPr>
            <m:t xml:space="preserve">= </m:t>
          </m:r>
          <m:sSup>
            <m:sSupPr>
              <m:ctrlPr>
                <w:rPr>
                  <w:rFonts w:ascii="Cambria Math" w:hAnsi="Cambria Math"/>
                  <w:b/>
                  <w:i/>
                  <w:sz w:val="20"/>
                  <w:szCs w:val="20"/>
                </w:rPr>
              </m:ctrlPr>
            </m:sSupPr>
            <m:e>
              <m:r>
                <m:rPr>
                  <m:sty m:val="bi"/>
                </m:rPr>
                <w:rPr>
                  <w:rFonts w:ascii="Cambria Math" w:hAnsi="Cambria Math"/>
                  <w:sz w:val="20"/>
                  <w:szCs w:val="20"/>
                </w:rPr>
                <m:t>(1+x)</m:t>
              </m:r>
            </m:e>
            <m:sup>
              <m:r>
                <m:rPr>
                  <m:sty m:val="bi"/>
                </m:rPr>
                <w:rPr>
                  <w:rFonts w:ascii="Cambria Math" w:hAnsi="Cambria Math"/>
                  <w:sz w:val="20"/>
                  <w:szCs w:val="20"/>
                </w:rPr>
                <m:t>n</m:t>
              </m:r>
            </m:sup>
          </m:sSup>
        </m:oMath>
      </m:oMathPara>
    </w:p>
    <w:p w14:paraId="29FA32D1" w14:textId="77777777" w:rsidR="00A001F6" w:rsidRPr="001057CB" w:rsidRDefault="00A001F6" w:rsidP="003159E3">
      <w:pPr>
        <w:spacing w:line="480" w:lineRule="auto"/>
        <w:rPr>
          <w:rFonts w:ascii="Times New Roman" w:hAnsi="Times New Roman"/>
          <w:sz w:val="20"/>
          <w:szCs w:val="20"/>
        </w:rPr>
      </w:pPr>
    </w:p>
    <w:p w14:paraId="4DAD099D" w14:textId="62800DA3"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 xml:space="preserve">For </w:t>
      </w:r>
      <w:r w:rsidR="00EE0615">
        <w:rPr>
          <w:rFonts w:ascii="Times New Roman" w:hAnsi="Times New Roman"/>
          <w:sz w:val="20"/>
          <w:szCs w:val="20"/>
        </w:rPr>
        <w:t>any one predictor</w:t>
      </w:r>
      <w:r w:rsidRPr="001057CB">
        <w:rPr>
          <w:rFonts w:ascii="Times New Roman" w:hAnsi="Times New Roman"/>
          <w:sz w:val="20"/>
          <w:szCs w:val="20"/>
        </w:rPr>
        <w:t xml:space="preserve"> one may choose to include in the model, either as a predictor of the intercept or of the slope, a third of the models do not contain the predictor at all, a third of the models contain the predictor as a fixed effect of the intercept, and a third of the models contain that predictor as a fixed effect of both the intercept and the slopes.</w:t>
      </w:r>
    </w:p>
    <w:p w14:paraId="0256BAC9" w14:textId="77777777" w:rsidR="00AB521F" w:rsidRPr="001057CB" w:rsidRDefault="00AB521F" w:rsidP="003159E3">
      <w:pPr>
        <w:spacing w:line="480" w:lineRule="auto"/>
        <w:rPr>
          <w:rFonts w:ascii="Times New Roman" w:hAnsi="Times New Roman"/>
          <w:sz w:val="20"/>
          <w:szCs w:val="20"/>
        </w:rPr>
      </w:pPr>
    </w:p>
    <w:p w14:paraId="54484FF7" w14:textId="77777777" w:rsidR="00AB521F" w:rsidRPr="001057CB" w:rsidRDefault="00AB521F" w:rsidP="003159E3">
      <w:pPr>
        <w:pStyle w:val="Heading2"/>
        <w:spacing w:line="480" w:lineRule="auto"/>
        <w:rPr>
          <w:rFonts w:ascii="Times New Roman" w:hAnsi="Times New Roman"/>
          <w:b/>
          <w:i/>
          <w:color w:val="auto"/>
          <w:sz w:val="20"/>
          <w:szCs w:val="20"/>
        </w:rPr>
      </w:pPr>
      <w:r w:rsidRPr="001057CB">
        <w:rPr>
          <w:rFonts w:ascii="Times New Roman" w:hAnsi="Times New Roman"/>
          <w:b/>
          <w:i/>
          <w:color w:val="auto"/>
          <w:sz w:val="20"/>
          <w:szCs w:val="20"/>
        </w:rPr>
        <w:t>Variable selection for fixed ef</w:t>
      </w:r>
      <w:r w:rsidR="005477F5" w:rsidRPr="001057CB">
        <w:rPr>
          <w:rFonts w:ascii="Times New Roman" w:hAnsi="Times New Roman"/>
          <w:b/>
          <w:i/>
          <w:color w:val="auto"/>
          <w:sz w:val="20"/>
          <w:szCs w:val="20"/>
        </w:rPr>
        <w:t>fects via spike and slab priors</w:t>
      </w:r>
    </w:p>
    <w:p w14:paraId="7530913E" w14:textId="6D158EDC"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We identified 1</w:t>
      </w:r>
      <w:r w:rsidR="00E66A08">
        <w:rPr>
          <w:rFonts w:ascii="Times New Roman" w:hAnsi="Times New Roman"/>
          <w:sz w:val="20"/>
          <w:szCs w:val="20"/>
        </w:rPr>
        <w:t>2</w:t>
      </w:r>
      <w:r w:rsidRPr="001057CB">
        <w:rPr>
          <w:rFonts w:ascii="Times New Roman" w:hAnsi="Times New Roman"/>
          <w:sz w:val="20"/>
          <w:szCs w:val="20"/>
        </w:rPr>
        <w:t xml:space="preserve"> predictors to </w:t>
      </w:r>
      <w:r w:rsidR="00EE0615">
        <w:rPr>
          <w:rFonts w:ascii="Times New Roman" w:hAnsi="Times New Roman"/>
          <w:sz w:val="20"/>
          <w:szCs w:val="20"/>
        </w:rPr>
        <w:t>consider</w:t>
      </w:r>
      <w:r w:rsidRPr="001057CB">
        <w:rPr>
          <w:rFonts w:ascii="Times New Roman" w:hAnsi="Times New Roman"/>
          <w:sz w:val="20"/>
          <w:szCs w:val="20"/>
        </w:rPr>
        <w:t xml:space="preserve"> in our models, </w:t>
      </w:r>
      <w:r w:rsidR="005E73C3" w:rsidRPr="001057CB">
        <w:rPr>
          <w:rFonts w:ascii="Times New Roman" w:hAnsi="Times New Roman"/>
          <w:sz w:val="20"/>
          <w:szCs w:val="20"/>
        </w:rPr>
        <w:t xml:space="preserve">and </w:t>
      </w:r>
      <w:r w:rsidR="00EE0615">
        <w:rPr>
          <w:rFonts w:ascii="Times New Roman" w:hAnsi="Times New Roman"/>
          <w:sz w:val="20"/>
          <w:szCs w:val="20"/>
        </w:rPr>
        <w:t>employed</w:t>
      </w:r>
      <w:r w:rsidRPr="001057CB">
        <w:rPr>
          <w:rFonts w:ascii="Times New Roman" w:hAnsi="Times New Roman"/>
          <w:sz w:val="20"/>
          <w:szCs w:val="20"/>
        </w:rPr>
        <w:t xml:space="preserve"> spike</w:t>
      </w:r>
      <w:r w:rsidR="00CE1AFF" w:rsidRPr="001057CB">
        <w:rPr>
          <w:rFonts w:ascii="Times New Roman" w:hAnsi="Times New Roman"/>
          <w:sz w:val="20"/>
          <w:szCs w:val="20"/>
        </w:rPr>
        <w:t>-and-</w:t>
      </w:r>
      <w:r w:rsidRPr="001057CB">
        <w:rPr>
          <w:rFonts w:ascii="Times New Roman" w:hAnsi="Times New Roman"/>
          <w:sz w:val="20"/>
          <w:szCs w:val="20"/>
        </w:rPr>
        <w:t>slab priors</w:t>
      </w:r>
      <w:r w:rsidR="005E73C3" w:rsidRPr="001057CB">
        <w:rPr>
          <w:rFonts w:ascii="Times New Roman" w:hAnsi="Times New Roman"/>
          <w:sz w:val="20"/>
          <w:szCs w:val="20"/>
        </w:rPr>
        <w:t xml:space="preserve"> </w:t>
      </w:r>
      <w:r w:rsidR="00EE0615">
        <w:rPr>
          <w:rFonts w:ascii="Times New Roman" w:hAnsi="Times New Roman"/>
          <w:sz w:val="20"/>
          <w:szCs w:val="20"/>
        </w:rPr>
        <w:t xml:space="preserve">on the coefficients of these predictors </w:t>
      </w:r>
      <w:r w:rsidRPr="001057CB">
        <w:rPr>
          <w:rFonts w:ascii="Times New Roman" w:hAnsi="Times New Roman"/>
          <w:sz w:val="20"/>
          <w:szCs w:val="20"/>
        </w:rPr>
        <w:t xml:space="preserve">to explore the space </w:t>
      </w:r>
      <w:r w:rsidR="005E73C3" w:rsidRPr="001057CB">
        <w:rPr>
          <w:rFonts w:ascii="Times New Roman" w:hAnsi="Times New Roman"/>
          <w:sz w:val="20"/>
          <w:szCs w:val="20"/>
        </w:rPr>
        <w:t xml:space="preserve">of all possible models </w:t>
      </w:r>
      <w:r w:rsidRPr="001057CB">
        <w:rPr>
          <w:rFonts w:ascii="Times New Roman" w:hAnsi="Times New Roman"/>
          <w:sz w:val="20"/>
          <w:szCs w:val="20"/>
        </w:rPr>
        <w:t xml:space="preserve">and </w:t>
      </w:r>
      <w:r w:rsidR="00EE0615" w:rsidRPr="001057CB">
        <w:rPr>
          <w:rFonts w:ascii="Times New Roman" w:hAnsi="Times New Roman"/>
          <w:sz w:val="20"/>
          <w:szCs w:val="20"/>
        </w:rPr>
        <w:t xml:space="preserve">simultaneously </w:t>
      </w:r>
      <w:r w:rsidRPr="001057CB">
        <w:rPr>
          <w:rFonts w:ascii="Times New Roman" w:hAnsi="Times New Roman"/>
          <w:sz w:val="20"/>
          <w:szCs w:val="20"/>
        </w:rPr>
        <w:t xml:space="preserve">estimate parameters via </w:t>
      </w:r>
      <w:r w:rsidR="003D0C07" w:rsidRPr="001057CB">
        <w:rPr>
          <w:rFonts w:ascii="Times New Roman" w:hAnsi="Times New Roman"/>
          <w:sz w:val="20"/>
          <w:szCs w:val="20"/>
        </w:rPr>
        <w:t>MCMC</w:t>
      </w:r>
      <w:r w:rsidRPr="001057CB">
        <w:rPr>
          <w:rFonts w:ascii="Times New Roman" w:hAnsi="Times New Roman"/>
          <w:sz w:val="20"/>
          <w:szCs w:val="20"/>
        </w:rPr>
        <w:t xml:space="preserve"> </w:t>
      </w:r>
      <w:r w:rsidR="00DF503B" w:rsidRPr="001057CB">
        <w:rPr>
          <w:rFonts w:ascii="Times New Roman" w:hAnsi="Times New Roman"/>
          <w:sz w:val="20"/>
          <w:szCs w:val="20"/>
        </w:rPr>
        <w:t>using a Metropolis Hastings sampler</w:t>
      </w:r>
      <w:r w:rsidRPr="001057CB">
        <w:rPr>
          <w:rFonts w:ascii="Times New Roman" w:hAnsi="Times New Roman"/>
          <w:sz w:val="20"/>
          <w:szCs w:val="20"/>
        </w:rPr>
        <w:t>. Variables under selection have a diffuse prior, or a "slab"</w:t>
      </w:r>
      <w:r w:rsidR="003D0C07" w:rsidRPr="001057CB">
        <w:rPr>
          <w:rFonts w:ascii="Times New Roman" w:hAnsi="Times New Roman"/>
          <w:sz w:val="20"/>
          <w:szCs w:val="20"/>
        </w:rPr>
        <w:t>;</w:t>
      </w:r>
      <w:r w:rsidRPr="001057CB">
        <w:rPr>
          <w:rFonts w:ascii="Times New Roman" w:hAnsi="Times New Roman"/>
          <w:sz w:val="20"/>
          <w:szCs w:val="20"/>
        </w:rPr>
        <w:t xml:space="preserve"> the "</w:t>
      </w:r>
      <w:r w:rsidR="003D0C07" w:rsidRPr="001057CB">
        <w:rPr>
          <w:rFonts w:ascii="Times New Roman" w:hAnsi="Times New Roman"/>
          <w:sz w:val="20"/>
          <w:szCs w:val="20"/>
        </w:rPr>
        <w:t>spike</w:t>
      </w:r>
      <w:r w:rsidRPr="001057CB">
        <w:rPr>
          <w:rFonts w:ascii="Times New Roman" w:hAnsi="Times New Roman"/>
          <w:sz w:val="20"/>
          <w:szCs w:val="20"/>
        </w:rPr>
        <w:t xml:space="preserve">" refers to the probability of excluding that predictor, or assigning a value of zero. A standard </w:t>
      </w:r>
      <w:r w:rsidR="003D0C07" w:rsidRPr="001057CB">
        <w:rPr>
          <w:rFonts w:ascii="Times New Roman" w:hAnsi="Times New Roman"/>
          <w:sz w:val="20"/>
          <w:szCs w:val="20"/>
        </w:rPr>
        <w:t>spike</w:t>
      </w:r>
      <w:r w:rsidRPr="001057CB">
        <w:rPr>
          <w:rFonts w:ascii="Times New Roman" w:hAnsi="Times New Roman"/>
          <w:sz w:val="20"/>
          <w:szCs w:val="20"/>
        </w:rPr>
        <w:t>-and-slab prior contains two components:</w:t>
      </w:r>
    </w:p>
    <w:p w14:paraId="6340F88C" w14:textId="77777777" w:rsidR="00AB521F" w:rsidRPr="001057CB" w:rsidRDefault="00AB521F" w:rsidP="003159E3">
      <w:pPr>
        <w:spacing w:line="480" w:lineRule="auto"/>
        <w:rPr>
          <w:rFonts w:ascii="Times New Roman" w:hAnsi="Times New Roman"/>
          <w:sz w:val="20"/>
          <w:szCs w:val="20"/>
        </w:rPr>
      </w:pPr>
    </w:p>
    <w:p w14:paraId="5FCC4516" w14:textId="6D7B4C0A" w:rsidR="00AB521F" w:rsidRPr="001057CB" w:rsidRDefault="0095479E" w:rsidP="003159E3">
      <w:pPr>
        <w:spacing w:line="480" w:lineRule="auto"/>
        <w:rPr>
          <w:rFonts w:ascii="Times New Roman" w:hAnsi="Times New Roman"/>
          <w:sz w:val="20"/>
          <w:szCs w:val="20"/>
        </w:rPr>
      </w:pPr>
      <m:oMathPara>
        <m:oMathParaPr>
          <m:jc m:val="center"/>
        </m:oMathParaPr>
        <m:oMath>
          <m:r>
            <m:rPr>
              <m:sty m:val="bi"/>
            </m:rPr>
            <w:rPr>
              <w:rFonts w:ascii="Cambria Math" w:hAnsi="Cambria Math"/>
              <w:sz w:val="20"/>
              <w:szCs w:val="20"/>
            </w:rPr>
            <m:t>Γ∼</m:t>
          </m:r>
          <m:r>
            <m:rPr>
              <m:nor/>
            </m:rPr>
            <w:rPr>
              <w:rFonts w:ascii="Times New Roman" w:hAnsi="Times New Roman"/>
              <w:b/>
              <w:sz w:val="20"/>
              <w:szCs w:val="20"/>
            </w:rPr>
            <m:t>Bernoulli</m:t>
          </m:r>
          <m:d>
            <m:dPr>
              <m:ctrlPr>
                <w:rPr>
                  <w:rFonts w:ascii="Cambria Math" w:hAnsi="Cambria Math"/>
                  <w:b/>
                  <w:i/>
                  <w:sz w:val="20"/>
                  <w:szCs w:val="20"/>
                </w:rPr>
              </m:ctrlPr>
            </m:dPr>
            <m:e>
              <m:r>
                <m:rPr>
                  <m:sty m:val="bi"/>
                </m:rPr>
                <w:rPr>
                  <w:rFonts w:ascii="Cambria Math" w:hAnsi="Cambria Math"/>
                  <w:sz w:val="20"/>
                  <w:szCs w:val="20"/>
                </w:rPr>
                <m:t>0.5</m:t>
              </m:r>
            </m:e>
          </m:d>
          <m:r>
            <m:rPr>
              <m:sty m:val="p"/>
            </m:rPr>
            <w:rPr>
              <w:rFonts w:ascii="Cambria Math" w:hAnsi="Cambria Math"/>
              <w:sz w:val="20"/>
              <w:szCs w:val="20"/>
            </w:rPr>
            <w:br/>
          </m:r>
        </m:oMath>
        <m:oMath>
          <m:sSub>
            <m:sSubPr>
              <m:ctrlPr>
                <w:rPr>
                  <w:rFonts w:ascii="Cambria Math" w:hAnsi="Cambria Math"/>
                  <w:b/>
                  <w:i/>
                  <w:sz w:val="20"/>
                  <w:szCs w:val="20"/>
                </w:rPr>
              </m:ctrlPr>
            </m:sSubPr>
            <m:e>
              <m:r>
                <m:rPr>
                  <m:sty m:val="bi"/>
                </m:rPr>
                <w:rPr>
                  <w:rFonts w:ascii="Cambria Math" w:hAnsi="Cambria Math"/>
                  <w:sz w:val="20"/>
                  <w:szCs w:val="20"/>
                </w:rPr>
                <m:t>γ</m:t>
              </m:r>
            </m:e>
            <m:sub>
              <m:r>
                <m:rPr>
                  <m:nor/>
                </m:rPr>
                <w:rPr>
                  <w:rFonts w:ascii="Times New Roman" w:hAnsi="Times New Roman"/>
                  <w:b/>
                  <w:sz w:val="20"/>
                  <w:szCs w:val="20"/>
                </w:rPr>
                <m:t>prior</m:t>
              </m:r>
            </m:sub>
          </m:sSub>
          <m:r>
            <m:rPr>
              <m:sty m:val="bi"/>
            </m:rPr>
            <w:rPr>
              <w:rFonts w:ascii="Cambria Math" w:hAnsi="Cambria Math"/>
              <w:sz w:val="20"/>
              <w:szCs w:val="20"/>
            </w:rPr>
            <m:t xml:space="preserve">∼ </m:t>
          </m:r>
          <m:r>
            <m:rPr>
              <m:nor/>
            </m:rPr>
            <w:rPr>
              <w:rFonts w:ascii="Times New Roman" w:hAnsi="Times New Roman"/>
              <w:b/>
              <w:sz w:val="20"/>
              <w:szCs w:val="20"/>
            </w:rPr>
            <m:t>Normal</m:t>
          </m:r>
          <m:r>
            <m:rPr>
              <m:sty m:val="bi"/>
            </m:rPr>
            <w:rPr>
              <w:rFonts w:ascii="Cambria Math" w:hAnsi="Cambria Math"/>
              <w:sz w:val="20"/>
              <w:szCs w:val="20"/>
            </w:rPr>
            <m:t xml:space="preserve">(0, 1000) </m:t>
          </m:r>
          <m:r>
            <m:rPr>
              <m:sty m:val="p"/>
            </m:rPr>
            <w:rPr>
              <w:rFonts w:ascii="Cambria Math" w:hAnsi="Cambria Math"/>
              <w:sz w:val="20"/>
              <w:szCs w:val="20"/>
            </w:rPr>
            <w:br/>
          </m:r>
        </m:oMath>
        <m:oMath>
          <m:r>
            <m:rPr>
              <m:sty m:val="bi"/>
            </m:rPr>
            <w:rPr>
              <w:rFonts w:ascii="Cambria Math" w:hAnsi="Cambria Math"/>
              <w:sz w:val="20"/>
              <w:szCs w:val="20"/>
            </w:rPr>
            <m:t>γ =Γ</m:t>
          </m:r>
          <m:sSub>
            <m:sSubPr>
              <m:ctrlPr>
                <w:rPr>
                  <w:rFonts w:ascii="Cambria Math" w:hAnsi="Cambria Math"/>
                  <w:b/>
                  <w:i/>
                  <w:sz w:val="20"/>
                  <w:szCs w:val="20"/>
                </w:rPr>
              </m:ctrlPr>
            </m:sSubPr>
            <m:e>
              <m:r>
                <m:rPr>
                  <m:sty m:val="bi"/>
                </m:rPr>
                <w:rPr>
                  <w:rFonts w:ascii="Cambria Math" w:hAnsi="Cambria Math"/>
                  <w:sz w:val="20"/>
                  <w:szCs w:val="20"/>
                </w:rPr>
                <m:t>γ</m:t>
              </m:r>
            </m:e>
            <m:sub>
              <m:r>
                <m:rPr>
                  <m:nor/>
                </m:rPr>
                <w:rPr>
                  <w:rFonts w:ascii="Times New Roman" w:hAnsi="Times New Roman"/>
                  <w:b/>
                  <w:sz w:val="20"/>
                  <w:szCs w:val="20"/>
                </w:rPr>
                <m:t>prior</m:t>
              </m:r>
            </m:sub>
          </m:sSub>
        </m:oMath>
      </m:oMathPara>
    </w:p>
    <w:p w14:paraId="3A8352DB" w14:textId="7CBED3BE"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 xml:space="preserve">As long as a predictor remains out of the model, the posterior for </w:t>
      </w:r>
      <m:oMath>
        <m:sSub>
          <m:sSubPr>
            <m:ctrlPr>
              <w:rPr>
                <w:rFonts w:ascii="Cambria Math" w:hAnsi="Cambria Math"/>
                <w:b/>
                <w:i/>
                <w:sz w:val="20"/>
                <w:szCs w:val="20"/>
              </w:rPr>
            </m:ctrlPr>
          </m:sSubPr>
          <m:e>
            <m:r>
              <m:rPr>
                <m:sty m:val="bi"/>
              </m:rPr>
              <w:rPr>
                <w:rFonts w:ascii="Cambria Math" w:hAnsi="Cambria Math"/>
                <w:sz w:val="20"/>
                <w:szCs w:val="20"/>
              </w:rPr>
              <m:t>γ</m:t>
            </m:r>
          </m:e>
          <m:sub>
            <m:r>
              <m:rPr>
                <m:nor/>
              </m:rPr>
              <w:rPr>
                <w:rFonts w:ascii="Times New Roman" w:hAnsi="Times New Roman"/>
                <w:b/>
                <w:sz w:val="20"/>
                <w:szCs w:val="20"/>
              </w:rPr>
              <m:t>prior</m:t>
            </m:r>
          </m:sub>
        </m:sSub>
      </m:oMath>
      <w:r w:rsidR="003D0C07" w:rsidRPr="001057CB">
        <w:rPr>
          <w:rFonts w:ascii="Times New Roman" w:hAnsi="Times New Roman"/>
          <w:sz w:val="20"/>
          <w:szCs w:val="20"/>
        </w:rPr>
        <w:t xml:space="preserve"> (</w:t>
      </w:r>
      <w:r w:rsidRPr="001057CB">
        <w:rPr>
          <w:rFonts w:ascii="Times New Roman" w:hAnsi="Times New Roman"/>
          <w:sz w:val="20"/>
          <w:szCs w:val="20"/>
        </w:rPr>
        <w:t>the "slab"</w:t>
      </w:r>
      <w:r w:rsidR="003D0C07" w:rsidRPr="001057CB">
        <w:rPr>
          <w:rFonts w:ascii="Times New Roman" w:hAnsi="Times New Roman"/>
          <w:sz w:val="20"/>
          <w:szCs w:val="20"/>
        </w:rPr>
        <w:t>)</w:t>
      </w:r>
      <w:r w:rsidRPr="001057CB">
        <w:rPr>
          <w:rFonts w:ascii="Times New Roman" w:hAnsi="Times New Roman"/>
          <w:sz w:val="20"/>
          <w:szCs w:val="20"/>
        </w:rPr>
        <w:t xml:space="preserve"> spans the prior distribution. When it is selected to be in the model, the posterior takes on a narrow range around the estimate of the coefficient. It is important for the "slab" portion of the coefficient have an uninformative distribution that can allow the data to determine the distribution of the posteriors. </w:t>
      </w:r>
    </w:p>
    <w:p w14:paraId="5B0E6AAE" w14:textId="77777777" w:rsidR="00AB521F" w:rsidRPr="001057CB" w:rsidRDefault="00AB521F" w:rsidP="003159E3">
      <w:pPr>
        <w:spacing w:line="480" w:lineRule="auto"/>
        <w:rPr>
          <w:rFonts w:ascii="Times New Roman" w:hAnsi="Times New Roman"/>
          <w:sz w:val="20"/>
          <w:szCs w:val="20"/>
        </w:rPr>
      </w:pPr>
    </w:p>
    <w:p w14:paraId="531F8E38" w14:textId="6E325D41" w:rsidR="00AB521F" w:rsidRPr="001057CB" w:rsidRDefault="00EE0615" w:rsidP="003159E3">
      <w:pPr>
        <w:spacing w:line="480" w:lineRule="auto"/>
        <w:rPr>
          <w:rFonts w:ascii="Times New Roman" w:hAnsi="Times New Roman"/>
          <w:sz w:val="20"/>
          <w:szCs w:val="20"/>
        </w:rPr>
      </w:pPr>
      <w:r>
        <w:rPr>
          <w:rFonts w:ascii="Times New Roman" w:hAnsi="Times New Roman"/>
          <w:sz w:val="20"/>
          <w:szCs w:val="20"/>
        </w:rPr>
        <w:t>Since our models</w:t>
      </w:r>
      <w:r w:rsidR="00AB521F" w:rsidRPr="001057CB">
        <w:rPr>
          <w:rFonts w:ascii="Times New Roman" w:hAnsi="Times New Roman"/>
          <w:sz w:val="20"/>
          <w:szCs w:val="20"/>
        </w:rPr>
        <w:t xml:space="preserve"> include predictors for the intercept as well as for th</w:t>
      </w:r>
      <w:r>
        <w:rPr>
          <w:rFonts w:ascii="Times New Roman" w:hAnsi="Times New Roman"/>
          <w:sz w:val="20"/>
          <w:szCs w:val="20"/>
        </w:rPr>
        <w:t xml:space="preserve">e slope of the age coefficient, </w:t>
      </w:r>
      <w:r w:rsidR="00AB521F" w:rsidRPr="001057CB">
        <w:rPr>
          <w:rFonts w:ascii="Times New Roman" w:hAnsi="Times New Roman"/>
          <w:sz w:val="20"/>
          <w:szCs w:val="20"/>
        </w:rPr>
        <w:t xml:space="preserve">we had to modify the scheme above so that each predictor could enter </w:t>
      </w:r>
      <w:r w:rsidR="007B7FBB" w:rsidRPr="001057CB">
        <w:rPr>
          <w:rFonts w:ascii="Times New Roman" w:hAnsi="Times New Roman"/>
          <w:sz w:val="20"/>
          <w:szCs w:val="20"/>
        </w:rPr>
        <w:t>two-thirds</w:t>
      </w:r>
      <w:r w:rsidR="00AB521F" w:rsidRPr="001057CB">
        <w:rPr>
          <w:rFonts w:ascii="Times New Roman" w:hAnsi="Times New Roman"/>
          <w:sz w:val="20"/>
          <w:szCs w:val="20"/>
        </w:rPr>
        <w:t xml:space="preserve"> of the models; in </w:t>
      </w:r>
      <w:r w:rsidR="007B7FBB" w:rsidRPr="001057CB">
        <w:rPr>
          <w:rFonts w:ascii="Times New Roman" w:hAnsi="Times New Roman"/>
          <w:sz w:val="20"/>
          <w:szCs w:val="20"/>
        </w:rPr>
        <w:t>one-third</w:t>
      </w:r>
      <w:r w:rsidR="00F70B2E" w:rsidRPr="001057CB">
        <w:rPr>
          <w:rFonts w:ascii="Times New Roman" w:hAnsi="Times New Roman"/>
          <w:sz w:val="20"/>
          <w:szCs w:val="20"/>
        </w:rPr>
        <w:t xml:space="preserve"> </w:t>
      </w:r>
      <w:r w:rsidR="00AB521F" w:rsidRPr="001057CB">
        <w:rPr>
          <w:rFonts w:ascii="Times New Roman" w:hAnsi="Times New Roman"/>
          <w:sz w:val="20"/>
          <w:szCs w:val="20"/>
        </w:rPr>
        <w:t xml:space="preserve">of the models the predictor is used to estimate the intercept, and in </w:t>
      </w:r>
      <w:r w:rsidR="007B7FBB" w:rsidRPr="001057CB">
        <w:rPr>
          <w:rFonts w:ascii="Times New Roman" w:hAnsi="Times New Roman"/>
          <w:sz w:val="20"/>
          <w:szCs w:val="20"/>
        </w:rPr>
        <w:t xml:space="preserve">one-third </w:t>
      </w:r>
      <w:r w:rsidR="00AB521F" w:rsidRPr="001057CB">
        <w:rPr>
          <w:rFonts w:ascii="Times New Roman" w:hAnsi="Times New Roman"/>
          <w:sz w:val="20"/>
          <w:szCs w:val="20"/>
        </w:rPr>
        <w:t xml:space="preserve">of the models the predictor is used to estimate the </w:t>
      </w:r>
      <w:r w:rsidR="003D0C07" w:rsidRPr="001057CB">
        <w:rPr>
          <w:rFonts w:ascii="Times New Roman" w:hAnsi="Times New Roman"/>
          <w:sz w:val="20"/>
          <w:szCs w:val="20"/>
        </w:rPr>
        <w:t xml:space="preserve">intercept and </w:t>
      </w:r>
      <w:r w:rsidR="00AB521F" w:rsidRPr="001057CB">
        <w:rPr>
          <w:rFonts w:ascii="Times New Roman" w:hAnsi="Times New Roman"/>
          <w:sz w:val="20"/>
          <w:szCs w:val="20"/>
        </w:rPr>
        <w:t xml:space="preserve">slopes of the model. We therefore replaced the prior on the selection parameter </w:t>
      </w:r>
      <w:r w:rsidR="00F70B2E" w:rsidRPr="00EE0615">
        <w:rPr>
          <w:rFonts w:ascii="Times New Roman" w:hAnsi="Times New Roman"/>
          <w:b/>
          <w:sz w:val="20"/>
          <w:szCs w:val="20"/>
        </w:rPr>
        <w:t>Γ</w:t>
      </w:r>
      <w:r w:rsidR="00F70B2E" w:rsidRPr="001057CB">
        <w:rPr>
          <w:rFonts w:ascii="Times New Roman" w:hAnsi="Times New Roman"/>
          <w:sz w:val="20"/>
          <w:szCs w:val="20"/>
        </w:rPr>
        <w:t xml:space="preserve"> </w:t>
      </w:r>
      <w:r w:rsidR="00AB521F" w:rsidRPr="001057CB">
        <w:rPr>
          <w:rFonts w:ascii="Times New Roman" w:hAnsi="Times New Roman"/>
          <w:sz w:val="20"/>
          <w:szCs w:val="20"/>
        </w:rPr>
        <w:t>with a categorical distribution wi</w:t>
      </w:r>
      <w:r w:rsidR="00BA1111">
        <w:rPr>
          <w:rFonts w:ascii="Times New Roman" w:hAnsi="Times New Roman"/>
          <w:sz w:val="20"/>
          <w:szCs w:val="20"/>
        </w:rPr>
        <w:t>th three parameters</w:t>
      </w:r>
      <w:r w:rsidR="00F70B2E" w:rsidRPr="001057CB">
        <w:rPr>
          <w:rFonts w:ascii="Times New Roman" w:hAnsi="Times New Roman"/>
          <w:sz w:val="20"/>
          <w:szCs w:val="20"/>
        </w:rPr>
        <w:t>:</w:t>
      </w:r>
    </w:p>
    <w:p w14:paraId="7C9FE197" w14:textId="77777777" w:rsidR="00AB521F" w:rsidRPr="001057CB" w:rsidRDefault="00AB521F" w:rsidP="003159E3">
      <w:pPr>
        <w:spacing w:line="480" w:lineRule="auto"/>
        <w:rPr>
          <w:rFonts w:ascii="Times New Roman" w:hAnsi="Times New Roman"/>
          <w:sz w:val="20"/>
          <w:szCs w:val="20"/>
        </w:rPr>
      </w:pPr>
    </w:p>
    <w:p w14:paraId="48BA4EF4" w14:textId="2A72CA64" w:rsidR="007B7FBB" w:rsidRPr="0095479E" w:rsidRDefault="0095479E" w:rsidP="003159E3">
      <w:pPr>
        <w:spacing w:line="480" w:lineRule="auto"/>
        <w:outlineLvl w:val="0"/>
        <w:rPr>
          <w:rFonts w:ascii="Times New Roman" w:hAnsi="Times New Roman"/>
          <w:b/>
          <w:sz w:val="20"/>
          <w:szCs w:val="20"/>
        </w:rPr>
      </w:pPr>
      <m:oMathPara>
        <m:oMath>
          <m:r>
            <m:rPr>
              <m:sty m:val="b"/>
            </m:rPr>
            <w:rPr>
              <w:rFonts w:ascii="Cambria Math" w:hAnsi="Cambria Math"/>
              <w:sz w:val="20"/>
              <w:szCs w:val="20"/>
            </w:rPr>
            <m:t>Γ∼Categorical</m:t>
          </m:r>
          <m:d>
            <m:dPr>
              <m:ctrlPr>
                <w:rPr>
                  <w:rFonts w:ascii="Cambria Math" w:hAnsi="Cambria Math"/>
                  <w:b/>
                  <w:sz w:val="20"/>
                  <w:szCs w:val="20"/>
                </w:rPr>
              </m:ctrlPr>
            </m:dPr>
            <m:e>
              <m:f>
                <m:fPr>
                  <m:type m:val="skw"/>
                  <m:ctrlPr>
                    <w:rPr>
                      <w:rFonts w:ascii="Cambria Math" w:hAnsi="Cambria Math"/>
                      <w:b/>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r>
                <m:rPr>
                  <m:sty m:val="bi"/>
                </m:rPr>
                <w:rPr>
                  <w:rFonts w:ascii="Cambria Math" w:hAnsi="Cambria Math"/>
                  <w:sz w:val="20"/>
                  <w:szCs w:val="20"/>
                </w:rPr>
                <m:t>,</m:t>
              </m:r>
              <m:f>
                <m:fPr>
                  <m:type m:val="skw"/>
                  <m:ctrlPr>
                    <w:rPr>
                      <w:rFonts w:ascii="Cambria Math" w:hAnsi="Cambria Math"/>
                      <w:b/>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r>
                <m:rPr>
                  <m:sty m:val="bi"/>
                </m:rPr>
                <w:rPr>
                  <w:rFonts w:ascii="Cambria Math" w:hAnsi="Cambria Math"/>
                  <w:sz w:val="20"/>
                  <w:szCs w:val="20"/>
                </w:rPr>
                <m:t>,</m:t>
              </m:r>
              <m:f>
                <m:fPr>
                  <m:type m:val="skw"/>
                  <m:ctrlPr>
                    <w:rPr>
                      <w:rFonts w:ascii="Cambria Math" w:hAnsi="Cambria Math"/>
                      <w:b/>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e>
          </m:d>
        </m:oMath>
      </m:oMathPara>
    </w:p>
    <w:p w14:paraId="2F917EFB" w14:textId="0A162637" w:rsidR="00A15D90" w:rsidRPr="00EE0615" w:rsidRDefault="00916BD1" w:rsidP="003159E3">
      <w:pPr>
        <w:spacing w:line="480" w:lineRule="auto"/>
        <w:rPr>
          <w:rFonts w:ascii="Times New Roman" w:hAnsi="Times New Roman"/>
          <w:b/>
          <w:sz w:val="20"/>
          <w:szCs w:val="20"/>
        </w:rPr>
      </w:pPr>
      <m:oMathPara>
        <m:oMath>
          <m:d>
            <m:dPr>
              <m:begChr m:val="〈"/>
              <m:endChr m:val="〉"/>
              <m:ctrlPr>
                <w:rPr>
                  <w:rFonts w:ascii="Cambria Math" w:hAnsi="Cambria Math"/>
                  <w:b/>
                  <w:i/>
                  <w:sz w:val="20"/>
                  <w:szCs w:val="20"/>
                </w:rPr>
              </m:ctrlPr>
            </m:dPr>
            <m:e>
              <m:r>
                <m:rPr>
                  <m:sty m:val="bi"/>
                </m:rPr>
                <w:rPr>
                  <w:rFonts w:ascii="Cambria Math" w:hAnsi="Cambria Math"/>
                  <w:sz w:val="20"/>
                  <w:szCs w:val="20"/>
                </w:rPr>
                <m:t>γ, η</m:t>
              </m:r>
            </m:e>
          </m:d>
          <m:r>
            <m:rPr>
              <m:sty m:val="bi"/>
            </m:rPr>
            <w:rPr>
              <w:rFonts w:ascii="Cambria Math" w:hAnsi="Cambria Math"/>
              <w:sz w:val="20"/>
              <w:szCs w:val="20"/>
            </w:rPr>
            <m:t>=</m:t>
          </m:r>
          <m:d>
            <m:dPr>
              <m:begChr m:val="{"/>
              <m:endChr m:val=""/>
              <m:ctrlPr>
                <w:rPr>
                  <w:rFonts w:ascii="Cambria Math" w:hAnsi="Cambria Math"/>
                  <w:b/>
                  <w:i/>
                  <w:sz w:val="20"/>
                  <w:szCs w:val="20"/>
                </w:rPr>
              </m:ctrlPr>
            </m:dPr>
            <m:e>
              <m:eqArr>
                <m:eqArrPr>
                  <m:ctrlPr>
                    <w:rPr>
                      <w:rFonts w:ascii="Cambria Math" w:hAnsi="Cambria Math"/>
                      <w:b/>
                      <w:i/>
                      <w:sz w:val="20"/>
                      <w:szCs w:val="20"/>
                    </w:rPr>
                  </m:ctrlPr>
                </m:eqArrPr>
                <m:e>
                  <m:d>
                    <m:dPr>
                      <m:begChr m:val="〈"/>
                      <m:endChr m:val="〉"/>
                      <m:ctrlPr>
                        <w:rPr>
                          <w:rFonts w:ascii="Cambria Math" w:hAnsi="Cambria Math"/>
                          <w:b/>
                          <w:i/>
                          <w:sz w:val="20"/>
                          <w:szCs w:val="20"/>
                        </w:rPr>
                      </m:ctrlPr>
                    </m:dPr>
                    <m:e>
                      <m:r>
                        <m:rPr>
                          <m:sty m:val="bi"/>
                        </m:rPr>
                        <w:rPr>
                          <w:rFonts w:ascii="Cambria Math" w:hAnsi="Cambria Math"/>
                          <w:sz w:val="20"/>
                          <w:szCs w:val="20"/>
                        </w:rPr>
                        <m:t>0,0,0,0</m:t>
                      </m:r>
                    </m:e>
                  </m:d>
                  <m:r>
                    <m:rPr>
                      <m:sty m:val="bi"/>
                    </m:rPr>
                    <w:rPr>
                      <w:rFonts w:ascii="Cambria Math" w:hAnsi="Cambria Math"/>
                      <w:sz w:val="20"/>
                      <w:szCs w:val="20"/>
                    </w:rPr>
                    <m:t>,  &amp; Γ=1</m:t>
                  </m:r>
                </m:e>
                <m:e>
                  <m:d>
                    <m:dPr>
                      <m:begChr m:val="〈"/>
                      <m:endChr m:val="〉"/>
                      <m:ctrlPr>
                        <w:rPr>
                          <w:rFonts w:ascii="Cambria Math" w:hAnsi="Cambria Math"/>
                          <w:b/>
                          <w:i/>
                          <w:sz w:val="20"/>
                          <w:szCs w:val="20"/>
                        </w:rPr>
                      </m:ctrlPr>
                    </m:dPr>
                    <m:e>
                      <m:sSubSup>
                        <m:sSubSupPr>
                          <m:ctrlPr>
                            <w:rPr>
                              <w:rFonts w:ascii="Cambria Math" w:hAnsi="Cambria Math"/>
                              <w:b/>
                              <w:i/>
                              <w:sz w:val="20"/>
                              <w:szCs w:val="20"/>
                            </w:rPr>
                          </m:ctrlPr>
                        </m:sSubSupPr>
                        <m:e>
                          <m:r>
                            <m:rPr>
                              <m:sty m:val="bi"/>
                            </m:rPr>
                            <w:rPr>
                              <w:rFonts w:ascii="Cambria Math" w:hAnsi="Cambria Math"/>
                              <w:sz w:val="20"/>
                              <w:szCs w:val="20"/>
                            </w:rPr>
                            <m:t>γ</m:t>
                          </m:r>
                        </m:e>
                        <m:sub>
                          <m:r>
                            <m:rPr>
                              <m:nor/>
                            </m:rPr>
                            <w:rPr>
                              <w:rFonts w:ascii="Times New Roman" w:hAnsi="Times New Roman"/>
                              <w:b/>
                              <w:sz w:val="20"/>
                              <w:szCs w:val="20"/>
                            </w:rPr>
                            <m:t>prior</m:t>
                          </m:r>
                        </m:sub>
                        <m:sup>
                          <m:r>
                            <m:rPr>
                              <m:nor/>
                            </m:rPr>
                            <w:rPr>
                              <w:rFonts w:ascii="Times New Roman" w:hAnsi="Times New Roman"/>
                              <w:b/>
                              <w:sz w:val="20"/>
                              <w:szCs w:val="20"/>
                            </w:rPr>
                            <m:t>intercept</m:t>
                          </m:r>
                        </m:sup>
                      </m:sSubSup>
                      <m:r>
                        <m:rPr>
                          <m:sty m:val="bi"/>
                        </m:rPr>
                        <w:rPr>
                          <w:rFonts w:ascii="Cambria Math" w:hAnsi="Cambria Math"/>
                          <w:sz w:val="20"/>
                          <w:szCs w:val="20"/>
                        </w:rPr>
                        <m:t>, 0, 0,0</m:t>
                      </m:r>
                    </m:e>
                  </m:d>
                  <m:r>
                    <m:rPr>
                      <m:sty m:val="bi"/>
                    </m:rPr>
                    <w:rPr>
                      <w:rFonts w:ascii="Cambria Math" w:hAnsi="Cambria Math"/>
                      <w:sz w:val="20"/>
                      <w:szCs w:val="20"/>
                    </w:rPr>
                    <m:t>,  &amp; Γ=2</m:t>
                  </m:r>
                </m:e>
                <m:e>
                  <m:d>
                    <m:dPr>
                      <m:begChr m:val="〈"/>
                      <m:endChr m:val="〉"/>
                      <m:ctrlPr>
                        <w:rPr>
                          <w:rFonts w:ascii="Cambria Math" w:hAnsi="Cambria Math"/>
                          <w:b/>
                          <w:i/>
                          <w:sz w:val="20"/>
                          <w:szCs w:val="20"/>
                        </w:rPr>
                      </m:ctrlPr>
                    </m:dPr>
                    <m:e>
                      <m:sSubSup>
                        <m:sSubSupPr>
                          <m:ctrlPr>
                            <w:rPr>
                              <w:rFonts w:ascii="Cambria Math" w:hAnsi="Cambria Math"/>
                              <w:b/>
                              <w:i/>
                              <w:sz w:val="20"/>
                              <w:szCs w:val="20"/>
                            </w:rPr>
                          </m:ctrlPr>
                        </m:sSubSupPr>
                        <m:e>
                          <m:sSubSup>
                            <m:sSubSupPr>
                              <m:ctrlPr>
                                <w:rPr>
                                  <w:rFonts w:ascii="Cambria Math" w:hAnsi="Cambria Math"/>
                                  <w:b/>
                                  <w:i/>
                                  <w:sz w:val="20"/>
                                  <w:szCs w:val="20"/>
                                </w:rPr>
                              </m:ctrlPr>
                            </m:sSubSupPr>
                            <m:e>
                              <m:r>
                                <m:rPr>
                                  <m:sty m:val="bi"/>
                                </m:rPr>
                                <w:rPr>
                                  <w:rFonts w:ascii="Cambria Math" w:hAnsi="Cambria Math"/>
                                  <w:sz w:val="20"/>
                                  <w:szCs w:val="20"/>
                                </w:rPr>
                                <m:t>γ</m:t>
                              </m:r>
                            </m:e>
                            <m:sub>
                              <m:r>
                                <m:rPr>
                                  <m:nor/>
                                </m:rPr>
                                <w:rPr>
                                  <w:rFonts w:ascii="Times New Roman" w:hAnsi="Times New Roman"/>
                                  <w:b/>
                                  <w:sz w:val="20"/>
                                  <w:szCs w:val="20"/>
                                </w:rPr>
                                <m:t>prior</m:t>
                              </m:r>
                            </m:sub>
                            <m:sup>
                              <m:r>
                                <m:rPr>
                                  <m:nor/>
                                </m:rPr>
                                <w:rPr>
                                  <w:rFonts w:ascii="Times New Roman" w:hAnsi="Times New Roman"/>
                                  <w:b/>
                                  <w:sz w:val="20"/>
                                  <w:szCs w:val="20"/>
                                </w:rPr>
                                <m:t>intercept</m:t>
                              </m:r>
                            </m:sup>
                          </m:sSubSup>
                          <m:r>
                            <m:rPr>
                              <m:sty m:val="bi"/>
                            </m:rPr>
                            <w:rPr>
                              <w:rFonts w:ascii="Cambria Math" w:hAnsi="Cambria Math"/>
                              <w:sz w:val="20"/>
                              <w:szCs w:val="20"/>
                            </w:rPr>
                            <m:t>, η</m:t>
                          </m:r>
                        </m:e>
                        <m:sub>
                          <m:r>
                            <m:rPr>
                              <m:nor/>
                            </m:rPr>
                            <w:rPr>
                              <w:rFonts w:ascii="Times New Roman" w:hAnsi="Times New Roman"/>
                              <w:b/>
                              <w:sz w:val="20"/>
                              <w:szCs w:val="20"/>
                            </w:rPr>
                            <m:t>prior</m:t>
                          </m:r>
                        </m:sub>
                        <m:sup>
                          <m:r>
                            <m:rPr>
                              <m:nor/>
                            </m:rPr>
                            <w:rPr>
                              <w:rFonts w:ascii="Times New Roman" w:hAnsi="Times New Roman"/>
                              <w:b/>
                              <w:sz w:val="20"/>
                              <w:szCs w:val="20"/>
                            </w:rPr>
                            <m:t>slope</m:t>
                          </m:r>
                          <m:r>
                            <m:rPr>
                              <m:sty m:val="bi"/>
                            </m:rPr>
                            <w:rPr>
                              <w:rFonts w:ascii="Cambria Math" w:hAnsi="Cambria Math"/>
                              <w:sz w:val="20"/>
                              <w:szCs w:val="20"/>
                            </w:rPr>
                            <m:t xml:space="preserve"> 1</m:t>
                          </m:r>
                        </m:sup>
                      </m:sSubSup>
                      <m:r>
                        <m:rPr>
                          <m:sty m:val="bi"/>
                        </m:rPr>
                        <w:rPr>
                          <w:rFonts w:ascii="Cambria Math" w:hAnsi="Cambria Math"/>
                          <w:sz w:val="20"/>
                          <w:szCs w:val="20"/>
                        </w:rPr>
                        <m:t xml:space="preserve">, </m:t>
                      </m:r>
                      <m:sSubSup>
                        <m:sSubSupPr>
                          <m:ctrlPr>
                            <w:rPr>
                              <w:rFonts w:ascii="Cambria Math" w:hAnsi="Cambria Math"/>
                              <w:b/>
                              <w:i/>
                              <w:sz w:val="20"/>
                              <w:szCs w:val="20"/>
                            </w:rPr>
                          </m:ctrlPr>
                        </m:sSubSupPr>
                        <m:e>
                          <m:r>
                            <m:rPr>
                              <m:sty m:val="bi"/>
                            </m:rPr>
                            <w:rPr>
                              <w:rFonts w:ascii="Cambria Math" w:hAnsi="Cambria Math"/>
                              <w:sz w:val="20"/>
                              <w:szCs w:val="20"/>
                            </w:rPr>
                            <m:t>η</m:t>
                          </m:r>
                        </m:e>
                        <m:sub>
                          <m:r>
                            <m:rPr>
                              <m:nor/>
                            </m:rPr>
                            <w:rPr>
                              <w:rFonts w:ascii="Times New Roman" w:hAnsi="Times New Roman"/>
                              <w:b/>
                              <w:sz w:val="20"/>
                              <w:szCs w:val="20"/>
                            </w:rPr>
                            <m:t>prior</m:t>
                          </m:r>
                        </m:sub>
                        <m:sup>
                          <m:r>
                            <m:rPr>
                              <m:nor/>
                            </m:rPr>
                            <w:rPr>
                              <w:rFonts w:ascii="Times New Roman" w:hAnsi="Times New Roman"/>
                              <w:b/>
                              <w:sz w:val="20"/>
                              <w:szCs w:val="20"/>
                            </w:rPr>
                            <m:t>slope</m:t>
                          </m:r>
                          <m:r>
                            <m:rPr>
                              <m:sty m:val="bi"/>
                            </m:rPr>
                            <w:rPr>
                              <w:rFonts w:ascii="Cambria Math" w:hAnsi="Cambria Math"/>
                              <w:sz w:val="20"/>
                              <w:szCs w:val="20"/>
                            </w:rPr>
                            <m:t xml:space="preserve"> 2</m:t>
                          </m:r>
                        </m:sup>
                      </m:sSubSup>
                      <m:r>
                        <m:rPr>
                          <m:sty m:val="bi"/>
                        </m:rPr>
                        <w:rPr>
                          <w:rFonts w:ascii="Cambria Math" w:hAnsi="Cambria Math"/>
                          <w:sz w:val="20"/>
                          <w:szCs w:val="20"/>
                        </w:rPr>
                        <m:t xml:space="preserve">, </m:t>
                      </m:r>
                      <m:sSubSup>
                        <m:sSubSupPr>
                          <m:ctrlPr>
                            <w:rPr>
                              <w:rFonts w:ascii="Cambria Math" w:hAnsi="Cambria Math"/>
                              <w:b/>
                              <w:i/>
                              <w:sz w:val="20"/>
                              <w:szCs w:val="20"/>
                            </w:rPr>
                          </m:ctrlPr>
                        </m:sSubSupPr>
                        <m:e>
                          <m:r>
                            <m:rPr>
                              <m:sty m:val="bi"/>
                            </m:rPr>
                            <w:rPr>
                              <w:rFonts w:ascii="Cambria Math" w:hAnsi="Cambria Math"/>
                              <w:sz w:val="20"/>
                              <w:szCs w:val="20"/>
                            </w:rPr>
                            <m:t>η</m:t>
                          </m:r>
                        </m:e>
                        <m:sub>
                          <m:r>
                            <m:rPr>
                              <m:nor/>
                            </m:rPr>
                            <w:rPr>
                              <w:rFonts w:ascii="Times New Roman" w:hAnsi="Times New Roman"/>
                              <w:b/>
                              <w:sz w:val="20"/>
                              <w:szCs w:val="20"/>
                            </w:rPr>
                            <m:t>prior</m:t>
                          </m:r>
                        </m:sub>
                        <m:sup>
                          <m:r>
                            <m:rPr>
                              <m:nor/>
                            </m:rPr>
                            <w:rPr>
                              <w:rFonts w:ascii="Times New Roman" w:hAnsi="Times New Roman"/>
                              <w:b/>
                              <w:sz w:val="20"/>
                              <w:szCs w:val="20"/>
                            </w:rPr>
                            <m:t>slope</m:t>
                          </m:r>
                          <m:r>
                            <m:rPr>
                              <m:sty m:val="bi"/>
                            </m:rPr>
                            <w:rPr>
                              <w:rFonts w:ascii="Cambria Math" w:hAnsi="Cambria Math"/>
                              <w:sz w:val="20"/>
                              <w:szCs w:val="20"/>
                            </w:rPr>
                            <m:t xml:space="preserve"> 3</m:t>
                          </m:r>
                        </m:sup>
                      </m:sSubSup>
                    </m:e>
                  </m:d>
                  <m:r>
                    <m:rPr>
                      <m:sty m:val="bi"/>
                    </m:rPr>
                    <w:rPr>
                      <w:rFonts w:ascii="Cambria Math" w:hAnsi="Cambria Math"/>
                      <w:sz w:val="20"/>
                      <w:szCs w:val="20"/>
                    </w:rPr>
                    <m:t>,  &amp; Γ=3</m:t>
                  </m:r>
                </m:e>
              </m:eqArr>
            </m:e>
          </m:d>
        </m:oMath>
      </m:oMathPara>
    </w:p>
    <w:p w14:paraId="37B26D88" w14:textId="77777777" w:rsidR="00EE0615" w:rsidRPr="00BA1111" w:rsidRDefault="00EE0615" w:rsidP="003159E3">
      <w:pPr>
        <w:spacing w:line="480" w:lineRule="auto"/>
        <w:rPr>
          <w:rFonts w:ascii="Times New Roman" w:hAnsi="Times New Roman"/>
          <w:b/>
          <w:sz w:val="20"/>
          <w:szCs w:val="20"/>
        </w:rPr>
      </w:pPr>
    </w:p>
    <w:p w14:paraId="39137060" w14:textId="78AE6686" w:rsidR="00BA1111" w:rsidRPr="0024044D" w:rsidRDefault="00102106" w:rsidP="003159E3">
      <w:pPr>
        <w:spacing w:line="480" w:lineRule="auto"/>
        <w:rPr>
          <w:rFonts w:ascii="Times New Roman" w:hAnsi="Times New Roman"/>
          <w:sz w:val="20"/>
          <w:szCs w:val="20"/>
        </w:rPr>
      </w:pPr>
      <w:r w:rsidRPr="0024044D">
        <w:rPr>
          <w:rFonts w:ascii="Times New Roman" w:hAnsi="Times New Roman"/>
          <w:sz w:val="20"/>
          <w:szCs w:val="20"/>
        </w:rPr>
        <w:t>Ordinarily</w:t>
      </w:r>
      <w:r>
        <w:rPr>
          <w:rFonts w:ascii="Times New Roman" w:hAnsi="Times New Roman"/>
          <w:sz w:val="20"/>
          <w:szCs w:val="20"/>
        </w:rPr>
        <w:t>,</w:t>
      </w:r>
      <w:r w:rsidRPr="0024044D">
        <w:rPr>
          <w:rFonts w:ascii="Times New Roman" w:hAnsi="Times New Roman"/>
          <w:sz w:val="20"/>
          <w:szCs w:val="20"/>
        </w:rPr>
        <w:t xml:space="preserve"> the coefficient for each predictor value is given an uninformative prior of Normal(0,1000). However, since we had 12 predictors for selection in the model, </w:t>
      </w:r>
      <w:r>
        <w:rPr>
          <w:rFonts w:ascii="Times New Roman" w:hAnsi="Times New Roman"/>
          <w:sz w:val="20"/>
          <w:szCs w:val="20"/>
        </w:rPr>
        <w:t xml:space="preserve">the stochastic search through such an expansive parameter space would be computationally unfeasible, therefore </w:t>
      </w:r>
      <w:r w:rsidRPr="0024044D">
        <w:rPr>
          <w:rFonts w:ascii="Times New Roman" w:hAnsi="Times New Roman"/>
          <w:sz w:val="20"/>
          <w:szCs w:val="20"/>
        </w:rPr>
        <w:t xml:space="preserve">we modified the prior distribution </w:t>
      </w:r>
      <w:r>
        <w:rPr>
          <w:rFonts w:ascii="Times New Roman" w:hAnsi="Times New Roman"/>
          <w:sz w:val="20"/>
          <w:szCs w:val="20"/>
        </w:rPr>
        <w:t xml:space="preserve">(uniform distribution bounded by </w:t>
      </w:r>
      <w:r w:rsidRPr="00137B0D">
        <w:rPr>
          <w:rFonts w:ascii="Times New Roman" w:hAnsi="Times New Roman"/>
          <w:color w:val="000000"/>
          <w:sz w:val="20"/>
          <w:szCs w:val="20"/>
        </w:rPr>
        <w:t>τ</w:t>
      </w:r>
      <w:r>
        <w:rPr>
          <w:rFonts w:ascii="Times New Roman" w:hAnsi="Times New Roman"/>
          <w:color w:val="000000"/>
          <w:sz w:val="20"/>
          <w:szCs w:val="20"/>
        </w:rPr>
        <w:t>)</w:t>
      </w:r>
      <w:r w:rsidRPr="0024044D">
        <w:rPr>
          <w:rFonts w:ascii="Times New Roman" w:hAnsi="Times New Roman"/>
          <w:sz w:val="20"/>
          <w:szCs w:val="20"/>
        </w:rPr>
        <w:t xml:space="preserve"> </w:t>
      </w:r>
      <w:r>
        <w:rPr>
          <w:rFonts w:ascii="Times New Roman" w:hAnsi="Times New Roman"/>
          <w:sz w:val="20"/>
          <w:szCs w:val="20"/>
        </w:rPr>
        <w:t>to accelerate chain mixing</w:t>
      </w:r>
      <w:r w:rsidR="00525B08">
        <w:rPr>
          <w:rFonts w:ascii="Times New Roman" w:hAnsi="Times New Roman"/>
          <w:sz w:val="20"/>
          <w:szCs w:val="20"/>
        </w:rPr>
        <w:t>:</w:t>
      </w:r>
      <w:r w:rsidR="00BA1111" w:rsidRPr="0024044D">
        <w:rPr>
          <w:rFonts w:ascii="Times New Roman" w:hAnsi="Times New Roman"/>
          <w:sz w:val="20"/>
          <w:szCs w:val="20"/>
        </w:rPr>
        <w:t xml:space="preserve"> </w:t>
      </w:r>
    </w:p>
    <w:p w14:paraId="7E33B7FE" w14:textId="679BF042" w:rsidR="00F51AC1" w:rsidRPr="0095479E" w:rsidRDefault="00916BD1" w:rsidP="00F51AC1">
      <w:pPr>
        <w:spacing w:line="480" w:lineRule="auto"/>
        <w:rPr>
          <w:rFonts w:ascii="Times New Roman" w:hAnsi="Times New Roman"/>
          <w:b/>
          <w:sz w:val="20"/>
          <w:szCs w:val="20"/>
        </w:rPr>
      </w:pPr>
      <m:oMathPara>
        <m:oMath>
          <m:sSubSup>
            <m:sSubSupPr>
              <m:ctrlPr>
                <w:rPr>
                  <w:rFonts w:ascii="Cambria Math" w:hAnsi="Cambria Math"/>
                  <w:b/>
                  <w:i/>
                  <w:sz w:val="20"/>
                  <w:szCs w:val="20"/>
                </w:rPr>
              </m:ctrlPr>
            </m:sSubSupPr>
            <m:e>
              <m:r>
                <m:rPr>
                  <m:sty m:val="bi"/>
                </m:rPr>
                <w:rPr>
                  <w:rFonts w:ascii="Cambria Math" w:hAnsi="Cambria Math"/>
                  <w:sz w:val="20"/>
                  <w:szCs w:val="20"/>
                </w:rPr>
                <m:t>γ</m:t>
              </m:r>
            </m:e>
            <m:sub>
              <m:r>
                <m:rPr>
                  <m:nor/>
                </m:rPr>
                <w:rPr>
                  <w:rFonts w:ascii="Times New Roman" w:hAnsi="Times New Roman"/>
                  <w:b/>
                  <w:sz w:val="20"/>
                  <w:szCs w:val="20"/>
                </w:rPr>
                <m:t>prior</m:t>
              </m:r>
            </m:sub>
            <m:sup>
              <m:r>
                <m:rPr>
                  <m:nor/>
                </m:rPr>
                <w:rPr>
                  <w:rFonts w:ascii="Times New Roman" w:hAnsi="Times New Roman"/>
                  <w:b/>
                  <w:sz w:val="20"/>
                  <w:szCs w:val="20"/>
                </w:rPr>
                <m:t>intercept</m:t>
              </m:r>
            </m:sup>
          </m:sSubSup>
          <m:r>
            <m:rPr>
              <m:sty m:val="bi"/>
            </m:rPr>
            <w:rPr>
              <w:rFonts w:ascii="Cambria Math" w:hAnsi="Cambria Math"/>
              <w:sz w:val="20"/>
              <w:szCs w:val="20"/>
            </w:rPr>
            <m:t xml:space="preserve">∼ </m:t>
          </m:r>
          <m:r>
            <m:rPr>
              <m:nor/>
            </m:rPr>
            <w:rPr>
              <w:rFonts w:ascii="Times New Roman" w:hAnsi="Times New Roman"/>
              <w:b/>
              <w:sz w:val="20"/>
              <w:szCs w:val="20"/>
            </w:rPr>
            <m:t>Uniform</m:t>
          </m:r>
          <m:r>
            <m:rPr>
              <m:sty m:val="bi"/>
            </m:rPr>
            <w:rPr>
              <w:rFonts w:ascii="Cambria Math" w:hAnsi="Cambria Math"/>
              <w:sz w:val="20"/>
              <w:szCs w:val="20"/>
            </w:rPr>
            <m:t>(-τ, τ)</m:t>
          </m:r>
        </m:oMath>
      </m:oMathPara>
    </w:p>
    <w:p w14:paraId="35EE88E3" w14:textId="1DE9AC69" w:rsidR="00AB521F" w:rsidRPr="00BA1111" w:rsidRDefault="00916BD1" w:rsidP="003159E3">
      <w:pPr>
        <w:spacing w:line="480" w:lineRule="auto"/>
        <w:rPr>
          <w:rFonts w:ascii="Times New Roman" w:hAnsi="Times New Roman"/>
          <w:b/>
          <w:sz w:val="20"/>
          <w:szCs w:val="20"/>
        </w:rPr>
      </w:pPr>
      <m:oMathPara>
        <m:oMath>
          <m:sSubSup>
            <m:sSubSupPr>
              <m:ctrlPr>
                <w:rPr>
                  <w:rFonts w:ascii="Cambria Math" w:hAnsi="Cambria Math"/>
                  <w:b/>
                  <w:i/>
                  <w:sz w:val="20"/>
                  <w:szCs w:val="20"/>
                </w:rPr>
              </m:ctrlPr>
            </m:sSubSupPr>
            <m:e>
              <m:r>
                <m:rPr>
                  <m:sty m:val="bi"/>
                </m:rPr>
                <w:rPr>
                  <w:rFonts w:ascii="Cambria Math" w:hAnsi="Cambria Math"/>
                  <w:sz w:val="20"/>
                  <w:szCs w:val="20"/>
                </w:rPr>
                <m:t>η</m:t>
              </m:r>
            </m:e>
            <m:sub>
              <m:r>
                <m:rPr>
                  <m:nor/>
                </m:rPr>
                <w:rPr>
                  <w:rFonts w:ascii="Times New Roman" w:hAnsi="Times New Roman"/>
                  <w:b/>
                  <w:sz w:val="20"/>
                  <w:szCs w:val="20"/>
                </w:rPr>
                <m:t>prior</m:t>
              </m:r>
            </m:sub>
            <m:sup>
              <m:r>
                <m:rPr>
                  <m:nor/>
                </m:rPr>
                <w:rPr>
                  <w:rFonts w:ascii="Times New Roman" w:hAnsi="Times New Roman"/>
                  <w:b/>
                  <w:sz w:val="20"/>
                  <w:szCs w:val="20"/>
                </w:rPr>
                <m:t>slope</m:t>
              </m:r>
              <m:r>
                <m:rPr>
                  <m:sty m:val="bi"/>
                </m:rPr>
                <w:rPr>
                  <w:rFonts w:ascii="Cambria Math" w:hAnsi="Cambria Math"/>
                  <w:sz w:val="20"/>
                  <w:szCs w:val="20"/>
                </w:rPr>
                <m:t xml:space="preserve"> a</m:t>
              </m:r>
            </m:sup>
          </m:sSubSup>
          <m:r>
            <m:rPr>
              <m:sty m:val="bi"/>
            </m:rPr>
            <w:rPr>
              <w:rFonts w:ascii="Cambria Math" w:hAnsi="Cambria Math"/>
              <w:sz w:val="20"/>
              <w:szCs w:val="20"/>
            </w:rPr>
            <m:t xml:space="preserve">∼ </m:t>
          </m:r>
          <m:r>
            <m:rPr>
              <m:nor/>
            </m:rPr>
            <w:rPr>
              <w:rFonts w:ascii="Times New Roman" w:hAnsi="Times New Roman"/>
              <w:b/>
              <w:sz w:val="20"/>
              <w:szCs w:val="20"/>
            </w:rPr>
            <m:t>Uniform</m:t>
          </m:r>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-τ</m:t>
              </m:r>
            </m:e>
            <m:sub>
              <m:r>
                <m:rPr>
                  <m:sty m:val="bi"/>
                </m:rPr>
                <w:rPr>
                  <w:rFonts w:ascii="Cambria Math" w:hAnsi="Cambria Math"/>
                  <w:sz w:val="20"/>
                  <w:szCs w:val="20"/>
                </w:rPr>
                <m:t>a</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τ</m:t>
              </m:r>
            </m:e>
            <m:sub>
              <m:r>
                <m:rPr>
                  <m:sty m:val="bi"/>
                </m:rPr>
                <w:rPr>
                  <w:rFonts w:ascii="Cambria Math" w:hAnsi="Cambria Math"/>
                  <w:sz w:val="20"/>
                  <w:szCs w:val="20"/>
                </w:rPr>
                <m:t>a</m:t>
              </m:r>
            </m:sub>
          </m:sSub>
          <m:r>
            <m:rPr>
              <m:sty m:val="bi"/>
            </m:rPr>
            <w:rPr>
              <w:rFonts w:ascii="Cambria Math" w:hAnsi="Cambria Math"/>
              <w:sz w:val="20"/>
              <w:szCs w:val="20"/>
            </w:rPr>
            <m:t>)</m:t>
          </m:r>
        </m:oMath>
      </m:oMathPara>
    </w:p>
    <w:p w14:paraId="102697BD" w14:textId="6AEF5EC6" w:rsidR="00BA1111" w:rsidRPr="00F51AC1" w:rsidRDefault="00BA1111" w:rsidP="00BA1111">
      <w:pPr>
        <w:spacing w:line="480" w:lineRule="auto"/>
        <w:jc w:val="center"/>
        <w:rPr>
          <w:rFonts w:ascii="Times New Roman" w:hAnsi="Times New Roman"/>
          <w:b/>
          <w:sz w:val="20"/>
          <w:szCs w:val="20"/>
        </w:rPr>
      </w:pPr>
      <m:oMath>
        <m:r>
          <m:rPr>
            <m:sty m:val="bi"/>
          </m:rPr>
          <w:rPr>
            <w:rFonts w:ascii="Cambria Math" w:hAnsi="Cambria Math"/>
            <w:sz w:val="20"/>
            <w:szCs w:val="20"/>
          </w:rPr>
          <m:t xml:space="preserve">τ ~ </m:t>
        </m:r>
        <m:r>
          <m:rPr>
            <m:nor/>
          </m:rPr>
          <w:rPr>
            <w:rFonts w:ascii="Cambria Math" w:hAnsi="Cambria Math"/>
            <w:b/>
            <w:sz w:val="20"/>
            <w:szCs w:val="20"/>
          </w:rPr>
          <m:t>Uniform</m:t>
        </m:r>
        <m:r>
          <m:rPr>
            <m:sty m:val="bi"/>
          </m:rPr>
          <w:rPr>
            <w:rFonts w:ascii="Cambria Math" w:hAnsi="Cambria Math"/>
            <w:sz w:val="20"/>
            <w:szCs w:val="20"/>
          </w:rPr>
          <m:t>(1,5)</m:t>
        </m:r>
      </m:oMath>
      <w:r>
        <w:rPr>
          <w:rFonts w:ascii="Times New Roman" w:hAnsi="Times New Roman"/>
          <w:b/>
          <w:sz w:val="20"/>
          <w:szCs w:val="20"/>
        </w:rPr>
        <w:t xml:space="preserve"> </w:t>
      </w:r>
      <w:r w:rsidRPr="006411FC">
        <w:rPr>
          <w:rFonts w:ascii="Times New Roman" w:hAnsi="Times New Roman"/>
          <w:sz w:val="20"/>
          <w:szCs w:val="20"/>
        </w:rPr>
        <w:t>and</w:t>
      </w:r>
      <w:r>
        <w:rPr>
          <w:rFonts w:ascii="Times New Roman" w:hAnsi="Times New Roman"/>
          <w:b/>
          <w:sz w:val="20"/>
          <w:szCs w:val="20"/>
        </w:rPr>
        <w:t xml:space="preserve"> </w:t>
      </w:r>
      <m:oMath>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τ</m:t>
            </m:r>
          </m:e>
          <m:sub>
            <m:r>
              <m:rPr>
                <m:sty m:val="bi"/>
              </m:rPr>
              <w:rPr>
                <w:rFonts w:ascii="Cambria Math" w:hAnsi="Cambria Math"/>
                <w:sz w:val="20"/>
                <w:szCs w:val="20"/>
              </w:rPr>
              <m:t>a</m:t>
            </m:r>
          </m:sub>
        </m:sSub>
        <m:r>
          <m:rPr>
            <m:sty m:val="bi"/>
          </m:rPr>
          <w:rPr>
            <w:rFonts w:ascii="Cambria Math" w:hAnsi="Cambria Math"/>
            <w:sz w:val="20"/>
            <w:szCs w:val="20"/>
          </w:rPr>
          <m:t xml:space="preserve"> ~ </m:t>
        </m:r>
        <m:r>
          <m:rPr>
            <m:nor/>
          </m:rPr>
          <w:rPr>
            <w:rFonts w:ascii="Cambria Math" w:hAnsi="Cambria Math"/>
            <w:b/>
            <w:sz w:val="20"/>
            <w:szCs w:val="20"/>
          </w:rPr>
          <m:t>Uniform</m:t>
        </m:r>
        <m:r>
          <m:rPr>
            <m:sty m:val="bi"/>
          </m:rPr>
          <w:rPr>
            <w:rFonts w:ascii="Cambria Math" w:hAnsi="Cambria Math"/>
            <w:sz w:val="20"/>
            <w:szCs w:val="20"/>
          </w:rPr>
          <m:t>(1,5)</m:t>
        </m:r>
      </m:oMath>
    </w:p>
    <w:p w14:paraId="69C3738D" w14:textId="64089D36" w:rsidR="006411FC" w:rsidRPr="0024044D" w:rsidRDefault="0024044D" w:rsidP="006411FC">
      <w:pPr>
        <w:spacing w:line="480" w:lineRule="auto"/>
        <w:rPr>
          <w:rFonts w:ascii="Times New Roman" w:hAnsi="Times New Roman"/>
          <w:sz w:val="20"/>
          <w:szCs w:val="20"/>
        </w:rPr>
      </w:pPr>
      <w:r>
        <w:rPr>
          <w:rFonts w:ascii="Times New Roman" w:hAnsi="Times New Roman"/>
          <w:sz w:val="20"/>
          <w:szCs w:val="20"/>
        </w:rPr>
        <w:t>We checked that the</w:t>
      </w:r>
      <w:r w:rsidR="006411FC" w:rsidRPr="0024044D">
        <w:rPr>
          <w:rFonts w:ascii="Times New Roman" w:hAnsi="Times New Roman"/>
          <w:sz w:val="20"/>
          <w:szCs w:val="20"/>
        </w:rPr>
        <w:t xml:space="preserve"> choice of upper and </w:t>
      </w:r>
      <w:r>
        <w:rPr>
          <w:rFonts w:ascii="Times New Roman" w:hAnsi="Times New Roman"/>
          <w:sz w:val="20"/>
          <w:szCs w:val="20"/>
        </w:rPr>
        <w:t xml:space="preserve">lower bounds of the </w:t>
      </w:r>
      <w:r w:rsidR="005B1015">
        <w:rPr>
          <w:rFonts w:ascii="Times New Roman" w:hAnsi="Times New Roman"/>
          <w:sz w:val="20"/>
          <w:szCs w:val="20"/>
        </w:rPr>
        <w:t>hyper-parameters</w:t>
      </w:r>
      <w:r>
        <w:rPr>
          <w:rFonts w:ascii="Times New Roman" w:hAnsi="Times New Roman"/>
          <w:sz w:val="20"/>
          <w:szCs w:val="20"/>
        </w:rPr>
        <w:t xml:space="preserve">, </w:t>
      </w:r>
      <w:r w:rsidRPr="0024044D">
        <w:rPr>
          <w:rFonts w:ascii="Times New Roman" w:hAnsi="Times New Roman"/>
          <w:b/>
          <w:i/>
          <w:color w:val="000000"/>
          <w:sz w:val="20"/>
          <w:szCs w:val="20"/>
        </w:rPr>
        <w:t>τ</w:t>
      </w:r>
      <w:r w:rsidR="009F7AD8">
        <w:rPr>
          <w:rFonts w:ascii="Times New Roman" w:hAnsi="Times New Roman"/>
          <w:b/>
          <w:i/>
          <w:color w:val="000000"/>
          <w:sz w:val="20"/>
          <w:szCs w:val="20"/>
        </w:rPr>
        <w:t xml:space="preserve"> </w:t>
      </w:r>
      <w:r w:rsidR="009F7AD8">
        <w:rPr>
          <w:rFonts w:ascii="Times New Roman" w:hAnsi="Times New Roman"/>
          <w:color w:val="000000"/>
          <w:sz w:val="20"/>
          <w:szCs w:val="20"/>
        </w:rPr>
        <w:t xml:space="preserve">and </w:t>
      </w:r>
      <w:r w:rsidR="00753E87" w:rsidRPr="0024044D">
        <w:rPr>
          <w:rFonts w:ascii="Times New Roman" w:hAnsi="Times New Roman"/>
          <w:b/>
          <w:i/>
          <w:color w:val="000000"/>
          <w:sz w:val="20"/>
          <w:szCs w:val="20"/>
        </w:rPr>
        <w:t>τ</w:t>
      </w:r>
      <w:r w:rsidR="009F7AD8">
        <w:rPr>
          <w:rFonts w:ascii="Times New Roman" w:hAnsi="Times New Roman"/>
          <w:b/>
          <w:i/>
          <w:color w:val="000000"/>
          <w:sz w:val="20"/>
          <w:szCs w:val="20"/>
          <w:vertAlign w:val="subscript"/>
        </w:rPr>
        <w:t>a</w:t>
      </w:r>
      <w:r>
        <w:rPr>
          <w:rFonts w:ascii="Times New Roman" w:hAnsi="Times New Roman"/>
          <w:color w:val="000000"/>
          <w:sz w:val="20"/>
          <w:szCs w:val="20"/>
        </w:rPr>
        <w:t xml:space="preserve">, would not hinder the estimates of the posterior distributions by limiting the </w:t>
      </w:r>
      <w:r w:rsidR="009F7AD8">
        <w:rPr>
          <w:rFonts w:ascii="Times New Roman" w:hAnsi="Times New Roman"/>
          <w:color w:val="000000"/>
          <w:sz w:val="20"/>
          <w:szCs w:val="20"/>
        </w:rPr>
        <w:t xml:space="preserve">parameter </w:t>
      </w:r>
      <w:r>
        <w:rPr>
          <w:rFonts w:ascii="Times New Roman" w:hAnsi="Times New Roman"/>
          <w:color w:val="000000"/>
          <w:sz w:val="20"/>
          <w:szCs w:val="20"/>
        </w:rPr>
        <w:t>space allowed by the prior distribution for the posterior search</w:t>
      </w:r>
      <w:r w:rsidR="009F7AD8">
        <w:rPr>
          <w:rFonts w:ascii="Times New Roman" w:hAnsi="Times New Roman"/>
          <w:color w:val="000000"/>
          <w:sz w:val="20"/>
          <w:szCs w:val="20"/>
        </w:rPr>
        <w:t xml:space="preserve"> (Figure S2)</w:t>
      </w:r>
      <w:r>
        <w:rPr>
          <w:rFonts w:ascii="Times New Roman" w:hAnsi="Times New Roman"/>
          <w:color w:val="000000"/>
          <w:sz w:val="20"/>
          <w:szCs w:val="20"/>
        </w:rPr>
        <w:t xml:space="preserve">. </w:t>
      </w:r>
    </w:p>
    <w:p w14:paraId="4154A2FF" w14:textId="77777777" w:rsidR="00AB521F" w:rsidRPr="001057CB" w:rsidRDefault="00AB521F" w:rsidP="003159E3">
      <w:pPr>
        <w:pStyle w:val="Heading2"/>
        <w:spacing w:line="480" w:lineRule="auto"/>
        <w:rPr>
          <w:rFonts w:ascii="Times New Roman" w:hAnsi="Times New Roman"/>
          <w:b/>
          <w:i/>
          <w:color w:val="auto"/>
          <w:sz w:val="20"/>
          <w:szCs w:val="20"/>
        </w:rPr>
      </w:pPr>
      <w:r w:rsidRPr="001057CB">
        <w:rPr>
          <w:rFonts w:ascii="Times New Roman" w:hAnsi="Times New Roman"/>
          <w:b/>
          <w:i/>
          <w:color w:val="auto"/>
          <w:sz w:val="20"/>
          <w:szCs w:val="20"/>
        </w:rPr>
        <w:t>Computat</w:t>
      </w:r>
      <w:r w:rsidR="005477F5" w:rsidRPr="001057CB">
        <w:rPr>
          <w:rFonts w:ascii="Times New Roman" w:hAnsi="Times New Roman"/>
          <w:b/>
          <w:i/>
          <w:color w:val="auto"/>
          <w:sz w:val="20"/>
          <w:szCs w:val="20"/>
        </w:rPr>
        <w:t>ional Tools</w:t>
      </w:r>
    </w:p>
    <w:p w14:paraId="364CD9AA" w14:textId="3651C872" w:rsidR="00AB521F" w:rsidRPr="001057CB" w:rsidRDefault="00AB521F" w:rsidP="003159E3">
      <w:pPr>
        <w:spacing w:line="480" w:lineRule="auto"/>
        <w:rPr>
          <w:rFonts w:ascii="Times New Roman" w:hAnsi="Times New Roman"/>
          <w:sz w:val="20"/>
          <w:szCs w:val="20"/>
        </w:rPr>
      </w:pPr>
      <w:r w:rsidRPr="001057CB">
        <w:rPr>
          <w:rFonts w:ascii="Times New Roman" w:hAnsi="Times New Roman"/>
          <w:sz w:val="20"/>
          <w:szCs w:val="20"/>
        </w:rPr>
        <w:t>The model was fit using the JAGS (Just Another Gibbs Sampler) software, version 3.4.0, in conjunction with MATLAB 2014b via the MATLAB interface</w:t>
      </w:r>
      <w:r w:rsidR="00805B57" w:rsidRPr="001057CB">
        <w:rPr>
          <w:rFonts w:ascii="Times New Roman" w:hAnsi="Times New Roman"/>
          <w:sz w:val="20"/>
          <w:szCs w:val="20"/>
        </w:rPr>
        <w:t xml:space="preserve"> for JAGS, MATJAGS (graciously provided by </w:t>
      </w:r>
      <w:r w:rsidR="006F7E4F" w:rsidRPr="001057CB">
        <w:rPr>
          <w:rFonts w:ascii="Times New Roman" w:hAnsi="Times New Roman"/>
          <w:sz w:val="20"/>
          <w:szCs w:val="20"/>
        </w:rPr>
        <w:t>Mark Steyvers at the University of California, Irvine</w:t>
      </w:r>
      <w:r w:rsidRPr="001057CB">
        <w:rPr>
          <w:rFonts w:ascii="Times New Roman" w:hAnsi="Times New Roman"/>
          <w:sz w:val="20"/>
          <w:szCs w:val="20"/>
        </w:rPr>
        <w:t>)</w:t>
      </w:r>
      <w:r w:rsidR="00284B07" w:rsidRPr="001057CB">
        <w:rPr>
          <w:rFonts w:ascii="Times New Roman" w:hAnsi="Times New Roman"/>
          <w:sz w:val="20"/>
          <w:szCs w:val="20"/>
        </w:rPr>
        <w:fldChar w:fldCharType="begin" w:fldLock="1"/>
      </w:r>
      <w:r w:rsidR="00916BD1">
        <w:rPr>
          <w:rFonts w:ascii="Times New Roman" w:hAnsi="Times New Roman"/>
          <w:sz w:val="20"/>
          <w:szCs w:val="20"/>
        </w:rPr>
        <w:instrText>ADDIN CSL_CITATION { "citationItems" : [ { "id" : "ITEM-1", "itemData" : { "DOI" : "ISSN 1609-395X", "abstract" : "JAGS is a program for Bayesian Graphical modelling which aims for compatibility with classic BUGS. The program could eventually be developed as an R package. This article explains the motivation for this program, briefly describes the architecture and then discusses some ideas for a vectorized form of the BUGS language.", "author" : [ { "dropping-particle" : "", "family" : "Plummer", "given" : "Martyn", "non-dropping-particle" : "", "parse-names" : false, "suffix" : "" } ], "container-title" : "Proceedings of the 3rd International Workshop on Distributed Statistical Computing", "id" : "ITEM-1", "issue" : "Distributed Statistical Computing", "issued" : { "date-parts" : [ [ "2003" ] ] }, "page" : "1-10", "title" : "JAGS: A program for analysis of Bayesian graphical models using Gibbs sampling", "type" : "article-journal" }, "uris" : [ "http://www.mendeley.com/documents/?uuid=de5e1337-ec58-4852-bfbe-509d50315547" ] }, { "id" : "ITEM-2", "itemData" : { "author" : [ { "dropping-particle" : "", "family" : "Steyvers", "given" : "Mark", "non-dropping-particle" : "", "parse-names" : false, "suffix" : "" }, { "dropping-particle" : "", "family" : "Kalish", "given" : "Michael", "non-dropping-particle" : "", "parse-names" : false, "suffix" : "" } ], "id" : "ITEM-2", "issued" : { "date-parts" : [ [ "2014" ] ] }, "number" : "1.3", "title" : "MATJAGS, a Matlab interface for JAGS", "type" : "article" }, "uris" : [ "http://www.mendeley.com/documents/?uuid=ea1ceeeb-df5e-4f5b-9ec3-5cd7ac763532" ] } ], "mendeley" : { "formattedCitation" : "[25,26]", "plainTextFormattedCitation" : "[25,26]", "previouslyFormattedCitation" : "[26,27]" }, "properties" : { "noteIndex" : 0 }, "schema" : "https://github.com/citation-style-language/schema/raw/master/csl-citation.json" }</w:instrText>
      </w:r>
      <w:r w:rsidR="00284B07" w:rsidRPr="001057CB">
        <w:rPr>
          <w:rFonts w:ascii="Times New Roman" w:hAnsi="Times New Roman"/>
          <w:sz w:val="20"/>
          <w:szCs w:val="20"/>
        </w:rPr>
        <w:fldChar w:fldCharType="separate"/>
      </w:r>
      <w:r w:rsidR="00916BD1" w:rsidRPr="00916BD1">
        <w:rPr>
          <w:rFonts w:ascii="Times New Roman" w:hAnsi="Times New Roman"/>
          <w:noProof/>
          <w:sz w:val="20"/>
          <w:szCs w:val="20"/>
        </w:rPr>
        <w:t>[25,26]</w:t>
      </w:r>
      <w:r w:rsidR="00284B07" w:rsidRPr="001057CB">
        <w:rPr>
          <w:rFonts w:ascii="Times New Roman" w:hAnsi="Times New Roman"/>
          <w:sz w:val="20"/>
          <w:szCs w:val="20"/>
        </w:rPr>
        <w:fldChar w:fldCharType="end"/>
      </w:r>
      <w:r w:rsidRPr="001057CB">
        <w:rPr>
          <w:rFonts w:ascii="Times New Roman" w:hAnsi="Times New Roman"/>
          <w:sz w:val="20"/>
          <w:szCs w:val="20"/>
        </w:rPr>
        <w:t xml:space="preserve">. We used MATLAB's Parallel Computing Toolbox to call multiple JAGS sessions that would estimate the model with alternative assumptions. </w:t>
      </w:r>
    </w:p>
    <w:p w14:paraId="3D472AB2" w14:textId="77777777" w:rsidR="00AB521F" w:rsidRPr="001057CB" w:rsidRDefault="00AB521F" w:rsidP="003159E3">
      <w:pPr>
        <w:spacing w:line="480" w:lineRule="auto"/>
        <w:rPr>
          <w:rFonts w:ascii="Times New Roman" w:hAnsi="Times New Roman"/>
          <w:sz w:val="20"/>
          <w:szCs w:val="20"/>
        </w:rPr>
      </w:pPr>
    </w:p>
    <w:p w14:paraId="28104C1A" w14:textId="22B38B40" w:rsidR="00C20C0E" w:rsidRPr="001057CB" w:rsidRDefault="00FC77D0" w:rsidP="003159E3">
      <w:pPr>
        <w:spacing w:line="480" w:lineRule="auto"/>
        <w:rPr>
          <w:rFonts w:ascii="Times New Roman" w:hAnsi="Times New Roman"/>
          <w:sz w:val="20"/>
          <w:szCs w:val="20"/>
        </w:rPr>
      </w:pPr>
      <w:r w:rsidRPr="001057CB">
        <w:rPr>
          <w:rFonts w:ascii="Times New Roman" w:hAnsi="Times New Roman"/>
          <w:sz w:val="20"/>
          <w:szCs w:val="20"/>
        </w:rPr>
        <w:t xml:space="preserve">With the exception of the priors for the diagnostic test sensitivity, we provided uninformative or vague priors for all parameters, and all covariates were normalized in order to facilitate mixing of the Markov chains. We drew </w:t>
      </w:r>
      <w:r w:rsidR="00BB198A">
        <w:rPr>
          <w:rFonts w:ascii="Times New Roman" w:hAnsi="Times New Roman"/>
          <w:sz w:val="20"/>
          <w:szCs w:val="20"/>
        </w:rPr>
        <w:t>10</w:t>
      </w:r>
      <w:r w:rsidRPr="001057CB">
        <w:rPr>
          <w:rFonts w:ascii="Times New Roman" w:hAnsi="Times New Roman"/>
          <w:sz w:val="20"/>
          <w:szCs w:val="20"/>
        </w:rPr>
        <w:t xml:space="preserve"> million samples from the posterior distribution of all parameter estimates</w:t>
      </w:r>
      <w:r w:rsidR="00D13CA6" w:rsidRPr="001057CB">
        <w:rPr>
          <w:rFonts w:ascii="Times New Roman" w:hAnsi="Times New Roman"/>
          <w:sz w:val="20"/>
          <w:szCs w:val="20"/>
        </w:rPr>
        <w:t xml:space="preserve"> after discarding </w:t>
      </w:r>
      <w:r w:rsidR="0095365B" w:rsidRPr="001057CB">
        <w:rPr>
          <w:rFonts w:ascii="Times New Roman" w:hAnsi="Times New Roman"/>
          <w:sz w:val="20"/>
          <w:szCs w:val="20"/>
        </w:rPr>
        <w:t xml:space="preserve">the initial </w:t>
      </w:r>
      <w:r w:rsidR="00D13CA6" w:rsidRPr="001057CB">
        <w:rPr>
          <w:rFonts w:ascii="Times New Roman" w:hAnsi="Times New Roman"/>
          <w:sz w:val="20"/>
          <w:szCs w:val="20"/>
        </w:rPr>
        <w:t xml:space="preserve">100,000 </w:t>
      </w:r>
      <w:r w:rsidR="0095365B" w:rsidRPr="001057CB">
        <w:rPr>
          <w:rFonts w:ascii="Times New Roman" w:hAnsi="Times New Roman"/>
          <w:sz w:val="20"/>
          <w:szCs w:val="20"/>
        </w:rPr>
        <w:t xml:space="preserve">burn in </w:t>
      </w:r>
      <w:r w:rsidR="00D13CA6" w:rsidRPr="001057CB">
        <w:rPr>
          <w:rFonts w:ascii="Times New Roman" w:hAnsi="Times New Roman"/>
          <w:sz w:val="20"/>
          <w:szCs w:val="20"/>
        </w:rPr>
        <w:t>iterations</w:t>
      </w:r>
      <w:r w:rsidRPr="001057CB">
        <w:rPr>
          <w:rFonts w:ascii="Times New Roman" w:hAnsi="Times New Roman"/>
          <w:sz w:val="20"/>
          <w:szCs w:val="20"/>
        </w:rPr>
        <w:t xml:space="preserve">, and applied a thinning parameter equal to </w:t>
      </w:r>
      <w:r w:rsidR="00D13CA6" w:rsidRPr="001057CB">
        <w:rPr>
          <w:rFonts w:ascii="Times New Roman" w:hAnsi="Times New Roman"/>
          <w:sz w:val="20"/>
          <w:szCs w:val="20"/>
        </w:rPr>
        <w:t>1</w:t>
      </w:r>
      <w:r w:rsidRPr="001057CB">
        <w:rPr>
          <w:rFonts w:ascii="Times New Roman" w:hAnsi="Times New Roman"/>
          <w:sz w:val="20"/>
          <w:szCs w:val="20"/>
        </w:rPr>
        <w:t xml:space="preserve">0 in order to curtail the degree of auto-correlation among </w:t>
      </w:r>
      <w:r w:rsidR="003D0C07" w:rsidRPr="001057CB">
        <w:rPr>
          <w:rFonts w:ascii="Times New Roman" w:hAnsi="Times New Roman"/>
          <w:sz w:val="20"/>
          <w:szCs w:val="20"/>
        </w:rPr>
        <w:t xml:space="preserve">consecutive </w:t>
      </w:r>
      <w:r w:rsidRPr="001057CB">
        <w:rPr>
          <w:rFonts w:ascii="Times New Roman" w:hAnsi="Times New Roman"/>
          <w:sz w:val="20"/>
          <w:szCs w:val="20"/>
        </w:rPr>
        <w:t>samples within chains.</w:t>
      </w:r>
      <w:r w:rsidR="001D76FD" w:rsidRPr="001057CB">
        <w:rPr>
          <w:rFonts w:ascii="Times New Roman" w:hAnsi="Times New Roman"/>
          <w:sz w:val="20"/>
          <w:szCs w:val="20"/>
        </w:rPr>
        <w:t xml:space="preserve"> For validation, where we left 3 locations out of the analysis each time we resampled the model, we re-estimated parameters by drawing 5 million samples</w:t>
      </w:r>
      <w:r w:rsidR="00CE1AFF" w:rsidRPr="001057CB">
        <w:rPr>
          <w:rFonts w:ascii="Times New Roman" w:hAnsi="Times New Roman"/>
          <w:sz w:val="20"/>
          <w:szCs w:val="20"/>
        </w:rPr>
        <w:t xml:space="preserve"> and applying a thinning parameter equal to 10</w:t>
      </w:r>
      <w:r w:rsidR="001D76FD" w:rsidRPr="001057CB">
        <w:rPr>
          <w:rFonts w:ascii="Times New Roman" w:hAnsi="Times New Roman"/>
          <w:sz w:val="20"/>
          <w:szCs w:val="20"/>
        </w:rPr>
        <w:t xml:space="preserve">. </w:t>
      </w:r>
      <w:r w:rsidR="003D0C07" w:rsidRPr="001057CB">
        <w:rPr>
          <w:rFonts w:ascii="Times New Roman" w:hAnsi="Times New Roman"/>
          <w:sz w:val="20"/>
          <w:szCs w:val="20"/>
        </w:rPr>
        <w:t>After examining</w:t>
      </w:r>
      <w:r w:rsidR="00E63A81" w:rsidRPr="001057CB">
        <w:rPr>
          <w:rFonts w:ascii="Times New Roman" w:hAnsi="Times New Roman"/>
          <w:sz w:val="20"/>
          <w:szCs w:val="20"/>
        </w:rPr>
        <w:t xml:space="preserve"> the rate of convergence of our initial estimation model, we determined that we could resample the model by drawing 5 million samples (rather than 20 million samples) in order to get similar results as a longer chain. </w:t>
      </w:r>
    </w:p>
    <w:p w14:paraId="6F3C132F" w14:textId="77777777" w:rsidR="00E63A81" w:rsidRPr="001057CB" w:rsidRDefault="00E63A81" w:rsidP="003159E3">
      <w:pPr>
        <w:spacing w:line="480" w:lineRule="auto"/>
        <w:rPr>
          <w:rFonts w:ascii="Times New Roman" w:hAnsi="Times New Roman"/>
          <w:sz w:val="20"/>
          <w:szCs w:val="20"/>
        </w:rPr>
      </w:pPr>
    </w:p>
    <w:p w14:paraId="144437E9" w14:textId="6A7FDC07" w:rsidR="00C20C0E" w:rsidRPr="001057CB" w:rsidRDefault="00AB4959" w:rsidP="003159E3">
      <w:pPr>
        <w:spacing w:line="480" w:lineRule="auto"/>
        <w:rPr>
          <w:rFonts w:ascii="Times New Roman" w:hAnsi="Times New Roman"/>
          <w:sz w:val="20"/>
          <w:szCs w:val="20"/>
        </w:rPr>
      </w:pPr>
      <w:r w:rsidRPr="001057CB">
        <w:rPr>
          <w:rFonts w:ascii="Times New Roman" w:hAnsi="Times New Roman"/>
          <w:sz w:val="20"/>
          <w:szCs w:val="20"/>
        </w:rPr>
        <w:t>To assess convergence on the space of predictor combinations, we ran two Markov chains, one initiated with a null model and one initiated with a saturated model</w:t>
      </w:r>
      <w:r w:rsidR="00CE1AFF" w:rsidRPr="001057CB">
        <w:rPr>
          <w:rFonts w:ascii="Times New Roman" w:hAnsi="Times New Roman"/>
          <w:sz w:val="20"/>
          <w:szCs w:val="20"/>
        </w:rPr>
        <w:t xml:space="preserve">; </w:t>
      </w:r>
      <w:r w:rsidRPr="001057CB">
        <w:rPr>
          <w:rFonts w:ascii="Times New Roman" w:hAnsi="Times New Roman"/>
          <w:sz w:val="20"/>
          <w:szCs w:val="20"/>
        </w:rPr>
        <w:t>if each covariate was selected for inclusion with approximately equal chance in both chains</w:t>
      </w:r>
      <w:r w:rsidR="00CE1AFF" w:rsidRPr="001057CB">
        <w:rPr>
          <w:rFonts w:ascii="Times New Roman" w:hAnsi="Times New Roman"/>
          <w:sz w:val="20"/>
          <w:szCs w:val="20"/>
        </w:rPr>
        <w:t>,</w:t>
      </w:r>
      <w:r w:rsidRPr="001057CB">
        <w:rPr>
          <w:rFonts w:ascii="Times New Roman" w:hAnsi="Times New Roman"/>
          <w:sz w:val="20"/>
          <w:szCs w:val="20"/>
        </w:rPr>
        <w:t xml:space="preserve"> then we concluded that the algorithm had converged. </w:t>
      </w:r>
      <w:r w:rsidR="00CE1AFF" w:rsidRPr="001057CB">
        <w:rPr>
          <w:rFonts w:ascii="Times New Roman" w:hAnsi="Times New Roman"/>
          <w:sz w:val="20"/>
          <w:szCs w:val="20"/>
        </w:rPr>
        <w:t xml:space="preserve">We visually inspected trace plots to </w:t>
      </w:r>
      <w:r w:rsidRPr="001057CB">
        <w:rPr>
          <w:rFonts w:ascii="Times New Roman" w:hAnsi="Times New Roman"/>
          <w:sz w:val="20"/>
          <w:szCs w:val="20"/>
        </w:rPr>
        <w:t>assess convergence on the parameter space</w:t>
      </w:r>
      <w:r w:rsidR="00905393" w:rsidRPr="001057CB">
        <w:rPr>
          <w:rFonts w:ascii="Times New Roman" w:hAnsi="Times New Roman"/>
          <w:sz w:val="20"/>
          <w:szCs w:val="20"/>
        </w:rPr>
        <w:t>.</w:t>
      </w:r>
    </w:p>
    <w:p w14:paraId="17D58796" w14:textId="77777777" w:rsidR="00AB6E0E" w:rsidRPr="001057CB" w:rsidRDefault="00AB6E0E" w:rsidP="003159E3">
      <w:pPr>
        <w:spacing w:line="480" w:lineRule="auto"/>
        <w:rPr>
          <w:rFonts w:ascii="Times New Roman" w:hAnsi="Times New Roman"/>
          <w:sz w:val="20"/>
          <w:szCs w:val="20"/>
        </w:rPr>
      </w:pPr>
    </w:p>
    <w:p w14:paraId="18CCC9F8" w14:textId="77777777" w:rsidR="00AB521F" w:rsidRPr="001057CB" w:rsidRDefault="00AB521F" w:rsidP="003159E3">
      <w:pPr>
        <w:pStyle w:val="Heading2"/>
        <w:spacing w:line="480" w:lineRule="auto"/>
        <w:rPr>
          <w:rFonts w:ascii="Times New Roman" w:hAnsi="Times New Roman"/>
          <w:b/>
          <w:i/>
          <w:color w:val="auto"/>
          <w:sz w:val="20"/>
          <w:szCs w:val="20"/>
        </w:rPr>
      </w:pPr>
      <w:r w:rsidRPr="001057CB">
        <w:rPr>
          <w:rFonts w:ascii="Times New Roman" w:hAnsi="Times New Roman"/>
          <w:b/>
          <w:i/>
          <w:color w:val="auto"/>
          <w:sz w:val="20"/>
          <w:szCs w:val="20"/>
        </w:rPr>
        <w:t>Predictive intervals of incid</w:t>
      </w:r>
      <w:r w:rsidR="005477F5" w:rsidRPr="001057CB">
        <w:rPr>
          <w:rFonts w:ascii="Times New Roman" w:hAnsi="Times New Roman"/>
          <w:b/>
          <w:i/>
          <w:color w:val="auto"/>
          <w:sz w:val="20"/>
          <w:szCs w:val="20"/>
        </w:rPr>
        <w:t>ence rate</w:t>
      </w:r>
    </w:p>
    <w:p w14:paraId="4C341FAD" w14:textId="18DED7CF" w:rsidR="006533A4" w:rsidRDefault="00F2793C" w:rsidP="003159E3">
      <w:pPr>
        <w:spacing w:line="480" w:lineRule="auto"/>
        <w:rPr>
          <w:rFonts w:ascii="Times New Roman" w:hAnsi="Times New Roman"/>
          <w:sz w:val="20"/>
          <w:szCs w:val="20"/>
        </w:rPr>
      </w:pPr>
      <w:r w:rsidRPr="001057CB">
        <w:rPr>
          <w:rFonts w:ascii="Times New Roman" w:hAnsi="Times New Roman"/>
          <w:sz w:val="20"/>
          <w:szCs w:val="20"/>
        </w:rPr>
        <w:t>We s</w:t>
      </w:r>
      <w:r w:rsidR="00AB521F" w:rsidRPr="001057CB">
        <w:rPr>
          <w:rFonts w:ascii="Times New Roman" w:hAnsi="Times New Roman"/>
          <w:sz w:val="20"/>
          <w:szCs w:val="20"/>
        </w:rPr>
        <w:t>ampled the posterior parameter combinati</w:t>
      </w:r>
      <w:r w:rsidR="005D0196" w:rsidRPr="001057CB">
        <w:rPr>
          <w:rFonts w:ascii="Times New Roman" w:hAnsi="Times New Roman"/>
          <w:sz w:val="20"/>
          <w:szCs w:val="20"/>
        </w:rPr>
        <w:t>ons in order to estimate the 95</w:t>
      </w:r>
      <w:r w:rsidR="00AB521F" w:rsidRPr="001057CB">
        <w:rPr>
          <w:rFonts w:ascii="Times New Roman" w:hAnsi="Times New Roman"/>
          <w:sz w:val="20"/>
          <w:szCs w:val="20"/>
        </w:rPr>
        <w:t>%</w:t>
      </w:r>
      <w:r w:rsidR="00DB7C61" w:rsidRPr="001057CB">
        <w:rPr>
          <w:rFonts w:ascii="Times New Roman" w:hAnsi="Times New Roman"/>
          <w:sz w:val="20"/>
          <w:szCs w:val="20"/>
        </w:rPr>
        <w:t xml:space="preserve"> credible intervals of predictive incidence rates</w:t>
      </w:r>
      <w:r w:rsidR="00AB521F" w:rsidRPr="001057CB">
        <w:rPr>
          <w:rFonts w:ascii="Times New Roman" w:hAnsi="Times New Roman"/>
          <w:sz w:val="20"/>
          <w:szCs w:val="20"/>
        </w:rPr>
        <w:t xml:space="preserve">. </w:t>
      </w:r>
      <w:r w:rsidR="00DB7C61" w:rsidRPr="001057CB">
        <w:rPr>
          <w:rFonts w:ascii="Times New Roman" w:hAnsi="Times New Roman"/>
          <w:sz w:val="20"/>
          <w:szCs w:val="20"/>
        </w:rPr>
        <w:t>Our predictive model included only the fixed effects</w:t>
      </w:r>
      <w:r w:rsidR="00B81D2F" w:rsidRPr="001057CB">
        <w:rPr>
          <w:rFonts w:ascii="Times New Roman" w:hAnsi="Times New Roman"/>
          <w:sz w:val="20"/>
          <w:szCs w:val="20"/>
        </w:rPr>
        <w:t xml:space="preserve"> for the mean response</w:t>
      </w:r>
      <w:r w:rsidR="00CE1AFF" w:rsidRPr="001057CB">
        <w:rPr>
          <w:rFonts w:ascii="Times New Roman" w:hAnsi="Times New Roman"/>
          <w:sz w:val="20"/>
          <w:szCs w:val="20"/>
        </w:rPr>
        <w:t>, since the random effect for a location with no previous population-based incidence study is unknown</w:t>
      </w:r>
      <w:r w:rsidR="0090002C">
        <w:rPr>
          <w:rFonts w:ascii="Times New Roman" w:hAnsi="Times New Roman"/>
          <w:sz w:val="20"/>
          <w:szCs w:val="20"/>
        </w:rPr>
        <w:t>. We capped incidence at 10,000 per 100,000 persons because that was ten time the highest observed incidence in Delhi, India in 1996.</w:t>
      </w:r>
      <w:r w:rsidR="0090002C">
        <w:rPr>
          <w:rFonts w:ascii="Times New Roman" w:hAnsi="Times New Roman"/>
          <w:sz w:val="20"/>
          <w:szCs w:val="20"/>
        </w:rPr>
        <w:fldChar w:fldCharType="begin" w:fldLock="1"/>
      </w:r>
      <w:r w:rsidR="00916BD1">
        <w:rPr>
          <w:rFonts w:ascii="Times New Roman" w:hAnsi="Times New Roman"/>
          <w:sz w:val="20"/>
          <w:szCs w:val="20"/>
        </w:rPr>
        <w:instrText>ADDIN CSL_CITATION { "citationItems" : [ { "id" : "ITEM-1", "itemData" : { "author" : [ { "dropping-particle" : "", "family" : "Sinha", "given" : "Anju", "non-dropping-particle" : "", "parse-names" : false, "suffix" : "" }, { "dropping-particle" : "", "family" : "Sazawal", "given" : "Sunil", "non-dropping-particle" : "", "parse-names" : false, "suffix" : "" }, { "dropping-particle" : "", "family" : "Kumar", "given" : "Ramesh", "non-dropping-particle" : "", "parse-names" : false, "suffix" : "" }, { "dropping-particle" : "", "family" : "Sood", "given" : "Seema", "non-dropping-particle" : "", "parse-names" : false, "suffix" : "" } ], "container-title" : "Lancet", "id" : "ITEM-1", "issued" : { "date-parts" : [ [ "1999" ] ] }, "page" : "734-737", "title" : "Typhoid fever in children aged less than 5 years", "type" : "article-journal", "volume" : "354" }, "uris" : [ "http://www.mendeley.com/documents/?uuid=ce5beff1-f210-4195-8912-c07fbd4cf41e", "http://www.mendeley.com/documents/?uuid=965ea9b4-cb14-4edf-a4d2-0c3aff9ac348" ] } ], "mendeley" : { "formattedCitation" : "[27]", "plainTextFormattedCitation" : "[27]", "previouslyFormattedCitation" : "[28]" }, "properties" : { "noteIndex" : 0 }, "schema" : "https://github.com/citation-style-language/schema/raw/master/csl-citation.json" }</w:instrText>
      </w:r>
      <w:r w:rsidR="0090002C">
        <w:rPr>
          <w:rFonts w:ascii="Times New Roman" w:hAnsi="Times New Roman"/>
          <w:sz w:val="20"/>
          <w:szCs w:val="20"/>
        </w:rPr>
        <w:fldChar w:fldCharType="separate"/>
      </w:r>
      <w:r w:rsidR="00916BD1" w:rsidRPr="00916BD1">
        <w:rPr>
          <w:rFonts w:ascii="Times New Roman" w:hAnsi="Times New Roman"/>
          <w:noProof/>
          <w:sz w:val="20"/>
          <w:szCs w:val="20"/>
        </w:rPr>
        <w:t>[27]</w:t>
      </w:r>
      <w:r w:rsidR="0090002C">
        <w:rPr>
          <w:rFonts w:ascii="Times New Roman" w:hAnsi="Times New Roman"/>
          <w:sz w:val="20"/>
          <w:szCs w:val="20"/>
        </w:rPr>
        <w:fldChar w:fldCharType="end"/>
      </w:r>
    </w:p>
    <w:p w14:paraId="20BA98F7" w14:textId="77777777" w:rsidR="0090002C" w:rsidRPr="001057CB" w:rsidRDefault="0090002C" w:rsidP="003159E3">
      <w:pPr>
        <w:spacing w:line="480" w:lineRule="auto"/>
        <w:rPr>
          <w:rFonts w:ascii="Times New Roman" w:hAnsi="Times New Roman"/>
          <w:sz w:val="20"/>
          <w:szCs w:val="20"/>
        </w:rPr>
      </w:pPr>
    </w:p>
    <w:p w14:paraId="4E06676B" w14:textId="5A03D854" w:rsidR="00D455B3" w:rsidRPr="001057CB" w:rsidRDefault="006533A4" w:rsidP="003159E3">
      <w:pPr>
        <w:spacing w:line="480" w:lineRule="auto"/>
        <w:rPr>
          <w:rFonts w:ascii="Times New Roman" w:hAnsi="Times New Roman"/>
          <w:sz w:val="20"/>
          <w:szCs w:val="20"/>
        </w:rPr>
      </w:pPr>
      <w:r w:rsidRPr="001057CB">
        <w:rPr>
          <w:rFonts w:ascii="Times New Roman" w:hAnsi="Times New Roman"/>
          <w:sz w:val="20"/>
          <w:szCs w:val="20"/>
        </w:rPr>
        <w:t>The model was able to capture some within-country heterogeneity in incidence attributable to the subnational-level predictions. Therefore, our posterior model was calculated on a 0</w:t>
      </w:r>
      <w:r w:rsidR="00FC6B92">
        <w:rPr>
          <w:rFonts w:ascii="Times New Roman" w:hAnsi="Times New Roman"/>
          <w:sz w:val="20"/>
          <w:szCs w:val="20"/>
        </w:rPr>
        <w:t>.</w:t>
      </w:r>
      <w:r w:rsidRPr="001057CB">
        <w:rPr>
          <w:rFonts w:ascii="Times New Roman" w:hAnsi="Times New Roman"/>
          <w:sz w:val="20"/>
          <w:szCs w:val="20"/>
        </w:rPr>
        <w:t xml:space="preserve">1 by </w:t>
      </w:r>
      <w:r w:rsidR="008D6B87" w:rsidRPr="001057CB">
        <w:rPr>
          <w:rFonts w:ascii="Times New Roman" w:hAnsi="Times New Roman"/>
          <w:sz w:val="20"/>
          <w:szCs w:val="20"/>
        </w:rPr>
        <w:t>0</w:t>
      </w:r>
      <w:r w:rsidR="00FC6B92">
        <w:rPr>
          <w:rFonts w:ascii="Times New Roman" w:hAnsi="Times New Roman"/>
          <w:sz w:val="20"/>
          <w:szCs w:val="20"/>
        </w:rPr>
        <w:t>.</w:t>
      </w:r>
      <w:r w:rsidR="008D6B87" w:rsidRPr="001057CB">
        <w:rPr>
          <w:rFonts w:ascii="Times New Roman" w:hAnsi="Times New Roman"/>
          <w:sz w:val="20"/>
          <w:szCs w:val="20"/>
        </w:rPr>
        <w:t>1-degree</w:t>
      </w:r>
      <w:r w:rsidRPr="001057CB">
        <w:rPr>
          <w:rFonts w:ascii="Times New Roman" w:hAnsi="Times New Roman"/>
          <w:sz w:val="20"/>
          <w:szCs w:val="20"/>
        </w:rPr>
        <w:t xml:space="preserve"> lattice</w:t>
      </w:r>
      <w:r w:rsidR="00AB6E0E" w:rsidRPr="001057CB">
        <w:rPr>
          <w:rFonts w:ascii="Times New Roman" w:hAnsi="Times New Roman"/>
          <w:sz w:val="20"/>
          <w:szCs w:val="20"/>
        </w:rPr>
        <w:t>.</w:t>
      </w:r>
      <w:r w:rsidR="00836B91" w:rsidRPr="001057CB">
        <w:rPr>
          <w:rFonts w:ascii="Times New Roman" w:hAnsi="Times New Roman"/>
          <w:sz w:val="20"/>
          <w:szCs w:val="20"/>
        </w:rPr>
        <w:t xml:space="preserve"> </w:t>
      </w:r>
      <w:r w:rsidR="00F418DD" w:rsidRPr="001057CB">
        <w:rPr>
          <w:rFonts w:ascii="Times New Roman" w:hAnsi="Times New Roman"/>
          <w:sz w:val="20"/>
          <w:szCs w:val="20"/>
        </w:rPr>
        <w:t>We calculated c</w:t>
      </w:r>
      <w:r w:rsidR="00836B91" w:rsidRPr="001057CB">
        <w:rPr>
          <w:rFonts w:ascii="Times New Roman" w:hAnsi="Times New Roman"/>
          <w:sz w:val="20"/>
          <w:szCs w:val="20"/>
        </w:rPr>
        <w:t xml:space="preserve">ases per grid cell by </w:t>
      </w:r>
      <w:r w:rsidR="00F418DD" w:rsidRPr="001057CB">
        <w:rPr>
          <w:rFonts w:ascii="Times New Roman" w:hAnsi="Times New Roman"/>
          <w:sz w:val="20"/>
          <w:szCs w:val="20"/>
        </w:rPr>
        <w:t xml:space="preserve">multiplying the incidence by </w:t>
      </w:r>
      <w:r w:rsidR="00836B91" w:rsidRPr="001057CB">
        <w:rPr>
          <w:rFonts w:ascii="Times New Roman" w:hAnsi="Times New Roman"/>
          <w:sz w:val="20"/>
          <w:szCs w:val="20"/>
        </w:rPr>
        <w:t xml:space="preserve">the population density and multiplying it by the area of the cell (as determined by a spherical model of the earth). </w:t>
      </w:r>
      <w:r w:rsidR="00217484" w:rsidRPr="001057CB">
        <w:rPr>
          <w:rFonts w:ascii="Times New Roman" w:hAnsi="Times New Roman"/>
          <w:sz w:val="20"/>
          <w:szCs w:val="20"/>
        </w:rPr>
        <w:t>Region</w:t>
      </w:r>
      <w:r w:rsidR="00191842" w:rsidRPr="001057CB">
        <w:rPr>
          <w:rFonts w:ascii="Times New Roman" w:hAnsi="Times New Roman"/>
          <w:sz w:val="20"/>
          <w:szCs w:val="20"/>
        </w:rPr>
        <w:t xml:space="preserve">-level </w:t>
      </w:r>
      <w:r w:rsidR="00836B91" w:rsidRPr="001057CB">
        <w:rPr>
          <w:rFonts w:ascii="Times New Roman" w:hAnsi="Times New Roman"/>
          <w:sz w:val="20"/>
          <w:szCs w:val="20"/>
        </w:rPr>
        <w:t>case</w:t>
      </w:r>
      <w:r w:rsidR="00191842" w:rsidRPr="001057CB">
        <w:rPr>
          <w:rFonts w:ascii="Times New Roman" w:hAnsi="Times New Roman"/>
          <w:sz w:val="20"/>
          <w:szCs w:val="20"/>
        </w:rPr>
        <w:t xml:space="preserve"> estimates were </w:t>
      </w:r>
      <w:r w:rsidR="00723E0F" w:rsidRPr="001057CB">
        <w:rPr>
          <w:rFonts w:ascii="Times New Roman" w:hAnsi="Times New Roman"/>
          <w:sz w:val="20"/>
          <w:szCs w:val="20"/>
        </w:rPr>
        <w:t>calculated by integrating the incidence over the raster area representing the</w:t>
      </w:r>
      <w:r w:rsidR="00836B91" w:rsidRPr="001057CB">
        <w:rPr>
          <w:rFonts w:ascii="Times New Roman" w:hAnsi="Times New Roman"/>
          <w:sz w:val="20"/>
          <w:szCs w:val="20"/>
        </w:rPr>
        <w:t xml:space="preserve"> </w:t>
      </w:r>
      <w:r w:rsidR="00027AF0" w:rsidRPr="001057CB">
        <w:rPr>
          <w:rFonts w:ascii="Times New Roman" w:hAnsi="Times New Roman"/>
          <w:sz w:val="20"/>
          <w:szCs w:val="20"/>
        </w:rPr>
        <w:t>region</w:t>
      </w:r>
      <w:r w:rsidR="00723E0F" w:rsidRPr="001057CB">
        <w:rPr>
          <w:rFonts w:ascii="Times New Roman" w:hAnsi="Times New Roman"/>
          <w:sz w:val="20"/>
          <w:szCs w:val="20"/>
        </w:rPr>
        <w:t xml:space="preserve">. </w:t>
      </w:r>
    </w:p>
    <w:p w14:paraId="4D93C4A2" w14:textId="77777777" w:rsidR="00DD28A5" w:rsidRPr="001057CB" w:rsidRDefault="00DD28A5" w:rsidP="003159E3">
      <w:pPr>
        <w:spacing w:line="480" w:lineRule="auto"/>
        <w:rPr>
          <w:rFonts w:ascii="Times New Roman" w:hAnsi="Times New Roman"/>
          <w:sz w:val="20"/>
          <w:szCs w:val="20"/>
        </w:rPr>
      </w:pPr>
    </w:p>
    <w:p w14:paraId="65F7B394" w14:textId="7B8C144C" w:rsidR="000545DF" w:rsidRPr="007C4EAC" w:rsidRDefault="00F418DD" w:rsidP="00691359">
      <w:pPr>
        <w:spacing w:line="480" w:lineRule="auto"/>
        <w:rPr>
          <w:rFonts w:ascii="Times New Roman" w:hAnsi="Times New Roman"/>
          <w:sz w:val="20"/>
          <w:szCs w:val="20"/>
        </w:rPr>
      </w:pPr>
      <w:r w:rsidRPr="001057CB">
        <w:rPr>
          <w:rFonts w:ascii="Times New Roman" w:hAnsi="Times New Roman"/>
          <w:sz w:val="20"/>
          <w:szCs w:val="20"/>
        </w:rPr>
        <w:t>Maps of the posterior prediction of incidence were created</w:t>
      </w:r>
      <w:r w:rsidR="00691359">
        <w:rPr>
          <w:rFonts w:ascii="Times New Roman" w:hAnsi="Times New Roman"/>
          <w:sz w:val="20"/>
          <w:szCs w:val="20"/>
        </w:rPr>
        <w:t xml:space="preserve"> using MATLAB’s Mapping Toolbox.</w:t>
      </w:r>
    </w:p>
    <w:p w14:paraId="0BC68D0C" w14:textId="77777777" w:rsidR="00753E87" w:rsidRDefault="00753E87" w:rsidP="00691359">
      <w:pPr>
        <w:spacing w:line="480" w:lineRule="auto"/>
        <w:rPr>
          <w:rFonts w:ascii="Times New Roman" w:hAnsi="Times New Roman"/>
          <w:b/>
          <w:sz w:val="20"/>
          <w:szCs w:val="20"/>
        </w:rPr>
      </w:pPr>
    </w:p>
    <w:p w14:paraId="16FB8E3C" w14:textId="77777777" w:rsidR="00753E87" w:rsidRPr="001057CB" w:rsidRDefault="00753E87" w:rsidP="00691359">
      <w:pPr>
        <w:spacing w:line="480" w:lineRule="auto"/>
        <w:rPr>
          <w:rFonts w:ascii="Times New Roman" w:hAnsi="Times New Roman"/>
          <w:b/>
          <w:sz w:val="20"/>
          <w:szCs w:val="20"/>
        </w:rPr>
        <w:sectPr w:rsidR="00753E87" w:rsidRPr="001057CB" w:rsidSect="00EC4B38">
          <w:footerReference w:type="even" r:id="rId9"/>
          <w:footerReference w:type="default" r:id="rId10"/>
          <w:pgSz w:w="12240" w:h="15840"/>
          <w:pgMar w:top="1440" w:right="1800" w:bottom="1440" w:left="1800" w:header="720" w:footer="720" w:gutter="0"/>
          <w:lnNumType w:countBy="1" w:restart="continuous"/>
          <w:cols w:space="720"/>
          <w:docGrid w:linePitch="360"/>
        </w:sectPr>
      </w:pPr>
    </w:p>
    <w:p w14:paraId="3C9F6632" w14:textId="7AE6B754" w:rsidR="00916BD1" w:rsidRPr="00916BD1" w:rsidRDefault="00DD28A5" w:rsidP="00916BD1">
      <w:pPr>
        <w:widowControl w:val="0"/>
        <w:autoSpaceDE w:val="0"/>
        <w:autoSpaceDN w:val="0"/>
        <w:adjustRightInd w:val="0"/>
        <w:ind w:left="640" w:hanging="640"/>
        <w:rPr>
          <w:rFonts w:ascii="Times New Roman" w:hAnsi="Times New Roman"/>
          <w:noProof/>
          <w:sz w:val="20"/>
        </w:rPr>
      </w:pPr>
      <w:r w:rsidRPr="001057CB">
        <w:rPr>
          <w:rFonts w:ascii="Times New Roman" w:hAnsi="Times New Roman"/>
          <w:b/>
          <w:sz w:val="20"/>
          <w:szCs w:val="20"/>
        </w:rPr>
        <w:t>References</w:t>
      </w:r>
      <w:r w:rsidR="00453C7D" w:rsidRPr="001057CB">
        <w:rPr>
          <w:rFonts w:ascii="Times New Roman" w:hAnsi="Times New Roman"/>
          <w:sz w:val="20"/>
          <w:szCs w:val="20"/>
        </w:rPr>
        <w:fldChar w:fldCharType="begin" w:fldLock="1"/>
      </w:r>
      <w:r w:rsidR="00453C7D" w:rsidRPr="001057CB">
        <w:rPr>
          <w:rFonts w:ascii="Times New Roman" w:hAnsi="Times New Roman"/>
          <w:sz w:val="20"/>
          <w:szCs w:val="20"/>
        </w:rPr>
        <w:instrText xml:space="preserve">ADDIN Mendeley Bibliography CSL_BIBLIOGRAPHY </w:instrText>
      </w:r>
      <w:r w:rsidR="00453C7D" w:rsidRPr="001057CB">
        <w:rPr>
          <w:rFonts w:ascii="Times New Roman" w:hAnsi="Times New Roman"/>
          <w:sz w:val="20"/>
          <w:szCs w:val="20"/>
        </w:rPr>
        <w:fldChar w:fldCharType="separate"/>
      </w:r>
      <w:r w:rsidR="00916BD1" w:rsidRPr="00916BD1">
        <w:rPr>
          <w:rFonts w:ascii="Times New Roman" w:hAnsi="Times New Roman"/>
          <w:noProof/>
          <w:sz w:val="20"/>
        </w:rPr>
        <w:t xml:space="preserve">1. </w:t>
      </w:r>
      <w:r w:rsidR="00916BD1" w:rsidRPr="00916BD1">
        <w:rPr>
          <w:rFonts w:ascii="Times New Roman" w:hAnsi="Times New Roman"/>
          <w:noProof/>
          <w:sz w:val="20"/>
        </w:rPr>
        <w:tab/>
        <w:t xml:space="preserve">Crump JA, Luby SP, Mintz ED. The global burden of typhoid fever. Bull World Health Organ. 2004;82: 346–53. </w:t>
      </w:r>
    </w:p>
    <w:p w14:paraId="4A206B9F"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2. </w:t>
      </w:r>
      <w:r w:rsidRPr="00916BD1">
        <w:rPr>
          <w:rFonts w:ascii="Times New Roman" w:hAnsi="Times New Roman"/>
          <w:noProof/>
          <w:sz w:val="20"/>
        </w:rPr>
        <w:tab/>
        <w:t>Crump JA, Ram PK, Gupta SK, Miller MA, Mintz ED. Part I. Analysis of data gaps pertaining to Salmonella enterica serotype Typhi infections in low and medium human development index countries, 1984-2005. Epidemiol Infect. 2008;136: 436–48. doi:10.1017/S0950268807009338</w:t>
      </w:r>
    </w:p>
    <w:p w14:paraId="58CD9C56"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3. </w:t>
      </w:r>
      <w:r w:rsidRPr="00916BD1">
        <w:rPr>
          <w:rFonts w:ascii="Times New Roman" w:hAnsi="Times New Roman"/>
          <w:noProof/>
          <w:sz w:val="20"/>
        </w:rPr>
        <w:tab/>
        <w:t>Buckle GC, Walker CLF, Black RE. Typhoid fever and paratyphoid fever: Systematic review to estimate global morbidity and mortality for 2010. J Glob Health. 2012;2: 10401. doi:10.7189/jogh.02.010401</w:t>
      </w:r>
    </w:p>
    <w:p w14:paraId="62F36675"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4. </w:t>
      </w:r>
      <w:r w:rsidRPr="00916BD1">
        <w:rPr>
          <w:rFonts w:ascii="Times New Roman" w:hAnsi="Times New Roman"/>
          <w:noProof/>
          <w:sz w:val="20"/>
        </w:rPr>
        <w:tab/>
        <w:t>Mogasale V, Maskery B, Ochiai RL, Lee JS, Mogasale V V, Ramani E, et al. Burden of typhoid fever in low-income and middle-income countries: a systematic, literature-based update with risk-factor adjustment. Lancet Glob Heal. Mogasale et al. Open Access article distributed under the terms of CC BY-NC-SA; 2014;2: e570-80. doi:10.1016/S2214-109X(14)70301-8</w:t>
      </w:r>
    </w:p>
    <w:p w14:paraId="2EAE80D4"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5. </w:t>
      </w:r>
      <w:r w:rsidRPr="00916BD1">
        <w:rPr>
          <w:rFonts w:ascii="Times New Roman" w:hAnsi="Times New Roman"/>
          <w:noProof/>
          <w:sz w:val="20"/>
        </w:rPr>
        <w:tab/>
        <w:t xml:space="preserve">World Bank. World Development Indicators. Washington, DC.: World Bank (producer and distributor); 2015. </w:t>
      </w:r>
    </w:p>
    <w:p w14:paraId="77911530"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6. </w:t>
      </w:r>
      <w:r w:rsidRPr="00916BD1">
        <w:rPr>
          <w:rFonts w:ascii="Times New Roman" w:hAnsi="Times New Roman"/>
          <w:noProof/>
          <w:sz w:val="20"/>
        </w:rPr>
        <w:tab/>
        <w:t xml:space="preserve">Gridded Population of the World, Version 3 (GPWv3): National Identifier Grid. Palisades, NY: NASA Socioeconomic Data and Applications Center (SEDAC); 2005. </w:t>
      </w:r>
    </w:p>
    <w:p w14:paraId="13E6B9EB"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7. </w:t>
      </w:r>
      <w:r w:rsidRPr="00916BD1">
        <w:rPr>
          <w:rFonts w:ascii="Times New Roman" w:hAnsi="Times New Roman"/>
          <w:noProof/>
          <w:sz w:val="20"/>
        </w:rPr>
        <w:tab/>
        <w:t>Nordhaus WD. Geography and macroeconomics: new data and new findings. Proc Natl Acad Sci U S A. 2006;103: 3510–7. doi:10.1073/pnas.0509842103</w:t>
      </w:r>
    </w:p>
    <w:p w14:paraId="15771A01"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8. </w:t>
      </w:r>
      <w:r w:rsidRPr="00916BD1">
        <w:rPr>
          <w:rFonts w:ascii="Times New Roman" w:hAnsi="Times New Roman"/>
          <w:noProof/>
          <w:sz w:val="20"/>
        </w:rPr>
        <w:tab/>
        <w:t xml:space="preserve">Nordhaus WD, Chen X. Geography: Graphics and Economics. B E J Econ Anal Policy. 2009;9. </w:t>
      </w:r>
    </w:p>
    <w:p w14:paraId="152D6398"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9. </w:t>
      </w:r>
      <w:r w:rsidRPr="00916BD1">
        <w:rPr>
          <w:rFonts w:ascii="Times New Roman" w:hAnsi="Times New Roman"/>
          <w:noProof/>
          <w:sz w:val="20"/>
        </w:rPr>
        <w:tab/>
        <w:t>Adhikari P, Hong Y, Douglas KR, Kirschbaum DB, Gourley J, Adler R, et al. A digitized global flood inventory (1998-2008): Compilation and preliminary results. Nat Hazards. 2010;55: 405–422. doi:10.1007/s11069-010-9537-2</w:t>
      </w:r>
    </w:p>
    <w:p w14:paraId="09527FC9"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10. </w:t>
      </w:r>
      <w:r w:rsidRPr="00916BD1">
        <w:rPr>
          <w:rFonts w:ascii="Times New Roman" w:hAnsi="Times New Roman"/>
          <w:noProof/>
          <w:sz w:val="20"/>
        </w:rPr>
        <w:tab/>
        <w:t>Mekonnen MM, Hoekstra AY. Four billion people facing severe water scarcity. Sci Adv. 2016;2: e1500323. doi:10.1126/sciadv.1500323</w:t>
      </w:r>
    </w:p>
    <w:p w14:paraId="3CFCF306"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11. </w:t>
      </w:r>
      <w:r w:rsidRPr="00916BD1">
        <w:rPr>
          <w:rFonts w:ascii="Times New Roman" w:hAnsi="Times New Roman"/>
          <w:noProof/>
          <w:sz w:val="20"/>
        </w:rPr>
        <w:tab/>
        <w:t>Breiman RF, Cosmas L, Njuguna H, Audi A, Olack B, Ochieng JB, et al. Population-based incidence of typhoid fever in an urban informal settlement and a rural area in Kenya: implications for typhoid vaccine use in Africa. PLoS One. United States; 2012;7: e29119. doi:10.1371/journal.pone.0029119</w:t>
      </w:r>
    </w:p>
    <w:p w14:paraId="4F03FF13"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12. </w:t>
      </w:r>
      <w:r w:rsidRPr="00916BD1">
        <w:rPr>
          <w:rFonts w:ascii="Times New Roman" w:hAnsi="Times New Roman"/>
          <w:noProof/>
          <w:sz w:val="20"/>
        </w:rPr>
        <w:tab/>
        <w:t xml:space="preserve">Wain J, Hosoglu S. The laboratory diagnosis of enteric fever. J Infect Dev Ctries. 2008;2: 421–5. </w:t>
      </w:r>
    </w:p>
    <w:p w14:paraId="675D6A32"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13. </w:t>
      </w:r>
      <w:r w:rsidRPr="00916BD1">
        <w:rPr>
          <w:rFonts w:ascii="Times New Roman" w:hAnsi="Times New Roman"/>
          <w:noProof/>
          <w:sz w:val="20"/>
        </w:rPr>
        <w:tab/>
        <w:t>Wain J, Diep TS, Bay PVB, Walsh AL, Vinh H, Duong NM, et al. Specimens and culture media for the laboratory diagnosis of typhoid fever. J Infect Dev Ctries. 2008;2: 469–74. doi:http://dx.doi.org/10.3855/jidc.164</w:t>
      </w:r>
    </w:p>
    <w:p w14:paraId="05BFE865"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14. </w:t>
      </w:r>
      <w:r w:rsidRPr="00916BD1">
        <w:rPr>
          <w:rFonts w:ascii="Times New Roman" w:hAnsi="Times New Roman"/>
          <w:noProof/>
          <w:sz w:val="20"/>
        </w:rPr>
        <w:tab/>
        <w:t>Parry CM, Wijedoru L, Arjyal A, Baker S. The utility of diagnostic tests for enteric fever in endemic locations. Expert Rev Anti Infect Ther. 2011;9: 711–25. doi:10.1586/eri.11.47</w:t>
      </w:r>
    </w:p>
    <w:p w14:paraId="2E431135"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15. </w:t>
      </w:r>
      <w:r w:rsidRPr="00916BD1">
        <w:rPr>
          <w:rFonts w:ascii="Times New Roman" w:hAnsi="Times New Roman"/>
          <w:noProof/>
          <w:sz w:val="20"/>
        </w:rPr>
        <w:tab/>
        <w:t>Darton TC, Blohmke CJ, Pollard AJ. Typhoid epidemiology, diagnostics and the human challenge model. Curr Opin Gastroenterol. 2014;30: 7–17. doi:10.1097/MOG.0000000000000021</w:t>
      </w:r>
    </w:p>
    <w:p w14:paraId="5DF7DFAA"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16. </w:t>
      </w:r>
      <w:r w:rsidRPr="00916BD1">
        <w:rPr>
          <w:rFonts w:ascii="Times New Roman" w:hAnsi="Times New Roman"/>
          <w:noProof/>
          <w:sz w:val="20"/>
        </w:rPr>
        <w:tab/>
        <w:t xml:space="preserve">Gilman RH, Terminel M, Levine MM, Hernandez-Mendoza P, Hornick RB. Relative efficacy of blood, urine, rectal swab, bone-marrow, and rose-spot cultures for recovery of Salmonella typhi in typhoid fever. Lancet. 1975;1: 1211–3. </w:t>
      </w:r>
    </w:p>
    <w:p w14:paraId="094C6C8E"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17. </w:t>
      </w:r>
      <w:r w:rsidRPr="00916BD1">
        <w:rPr>
          <w:rFonts w:ascii="Times New Roman" w:hAnsi="Times New Roman"/>
          <w:noProof/>
          <w:sz w:val="20"/>
        </w:rPr>
        <w:tab/>
        <w:t>Guerra-Caceres JG, Gotuzzo-Herencia E, Crosby-Dagnino E, Miro-Quesada M, Carrillo-Parodi C. Diagnostic-Value of Bone-Marrow Culture in Typhoid-Fever. Trans R Soc Trop Med Hyg. 1979;73: 680–683. doi:10.1016/0035-9203(79)90020-8</w:t>
      </w:r>
    </w:p>
    <w:p w14:paraId="53ED375C"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18. </w:t>
      </w:r>
      <w:r w:rsidRPr="00916BD1">
        <w:rPr>
          <w:rFonts w:ascii="Times New Roman" w:hAnsi="Times New Roman"/>
          <w:noProof/>
          <w:sz w:val="20"/>
        </w:rPr>
        <w:tab/>
        <w:t xml:space="preserve">Vallenas C, Hernandez H, Kay B, Black R, Gotuzzo E. Efficacy of bone marrow, blood, stool and duodenal contents cultures for bacteriologic confirmation of typhoid fever in children. Pediatr Infect Dis J. 1985;4: 496–8. </w:t>
      </w:r>
    </w:p>
    <w:p w14:paraId="4E71B1F7"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19. </w:t>
      </w:r>
      <w:r w:rsidRPr="00916BD1">
        <w:rPr>
          <w:rFonts w:ascii="Times New Roman" w:hAnsi="Times New Roman"/>
          <w:noProof/>
          <w:sz w:val="20"/>
        </w:rPr>
        <w:tab/>
        <w:t xml:space="preserve">Hoffman SL, Edman DC, Punjabi NH, Lesmana M, Cholid A, Sundah S, et al. Bone marrow aspirate culture superior to streptokinase clot culture and 8 ml 1:10 blood-to-broth ratio blood culture for diagnosis of typhoid fever. Am J Trop Med Hyg. 1986;35: 836–9. </w:t>
      </w:r>
    </w:p>
    <w:p w14:paraId="7AC53FFF"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20. </w:t>
      </w:r>
      <w:r w:rsidRPr="00916BD1">
        <w:rPr>
          <w:rFonts w:ascii="Times New Roman" w:hAnsi="Times New Roman"/>
          <w:noProof/>
          <w:sz w:val="20"/>
        </w:rPr>
        <w:tab/>
        <w:t xml:space="preserve">Gasem MH, Dolmans WM, Isbandrio BB, Wahyono H, Keuter M, Djokomoeljanto R, et al. Culture of Salmonella typhi and Salmonella paratyphi from blood and bone marrow in suspected typhoid fever. Trop Geogr Med. Amsterdam, Netherlands; 1995;47: 164–167. </w:t>
      </w:r>
    </w:p>
    <w:p w14:paraId="7C350FB8"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21. </w:t>
      </w:r>
      <w:r w:rsidRPr="00916BD1">
        <w:rPr>
          <w:rFonts w:ascii="Times New Roman" w:hAnsi="Times New Roman"/>
          <w:noProof/>
          <w:sz w:val="20"/>
        </w:rPr>
        <w:tab/>
        <w:t xml:space="preserve">Gasem MH, Smits HL, Goris MGA, Dolmans WM V. Evaluation of a simple and rapid dipstick assay for the diagnosis of typhoid fever in Indonesia. J Med Microbiol. 2002;51: 173–177. </w:t>
      </w:r>
    </w:p>
    <w:p w14:paraId="1AA9103D"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22. </w:t>
      </w:r>
      <w:r w:rsidRPr="00916BD1">
        <w:rPr>
          <w:rFonts w:ascii="Times New Roman" w:hAnsi="Times New Roman"/>
          <w:noProof/>
          <w:sz w:val="20"/>
        </w:rPr>
        <w:tab/>
        <w:t>Ochiai RL, Acosta CJ, Danovaro-Holliday MC, Baiqing D, Bhattacharya SK, Agtini MD, et al. A study of typhoid fever in five Asian countries: Disease burden and implications for controls. Bull World Health Organ. 2008;86: 260–268. doi:10.2471/BLT.06.039818</w:t>
      </w:r>
    </w:p>
    <w:p w14:paraId="62E0BA84"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23. </w:t>
      </w:r>
      <w:r w:rsidRPr="00916BD1">
        <w:rPr>
          <w:rFonts w:ascii="Times New Roman" w:hAnsi="Times New Roman"/>
          <w:noProof/>
          <w:sz w:val="20"/>
        </w:rPr>
        <w:tab/>
        <w:t>George EI, McCulloch RE. Variable Selection via Gibbs Sampling. Journal of the American Statistical Association. 1993. pp. 881–889. doi:10.1080/01621459.1993.10476353</w:t>
      </w:r>
    </w:p>
    <w:p w14:paraId="6260494B"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24. </w:t>
      </w:r>
      <w:r w:rsidRPr="00916BD1">
        <w:rPr>
          <w:rFonts w:ascii="Times New Roman" w:hAnsi="Times New Roman"/>
          <w:noProof/>
          <w:sz w:val="20"/>
        </w:rPr>
        <w:tab/>
        <w:t>Ishwaran H, Rao JS. Spike and slab variable selection: Frequentist and bayesian strategies. Ann Stat. 2005;33: 730–773. doi:10.1214/009053604000001147</w:t>
      </w:r>
    </w:p>
    <w:p w14:paraId="22E8BF4E"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25. </w:t>
      </w:r>
      <w:r w:rsidRPr="00916BD1">
        <w:rPr>
          <w:rFonts w:ascii="Times New Roman" w:hAnsi="Times New Roman"/>
          <w:noProof/>
          <w:sz w:val="20"/>
        </w:rPr>
        <w:tab/>
        <w:t>Plummer M. JAGS: A program for analysis of Bayesian graphical models using Gibbs sampling. Proc 3rd Int Work Distrib Stat Comput. 2003; 1–10. doi:ISSN 1609-395X</w:t>
      </w:r>
    </w:p>
    <w:p w14:paraId="55FFCCE1"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26. </w:t>
      </w:r>
      <w:r w:rsidRPr="00916BD1">
        <w:rPr>
          <w:rFonts w:ascii="Times New Roman" w:hAnsi="Times New Roman"/>
          <w:noProof/>
          <w:sz w:val="20"/>
        </w:rPr>
        <w:tab/>
        <w:t xml:space="preserve">Steyvers M, Kalish M. MATJAGS, a Matlab interface for JAGS. 2014. </w:t>
      </w:r>
    </w:p>
    <w:p w14:paraId="5163C0C2" w14:textId="77777777" w:rsidR="00916BD1" w:rsidRPr="00916BD1" w:rsidRDefault="00916BD1" w:rsidP="00916BD1">
      <w:pPr>
        <w:widowControl w:val="0"/>
        <w:autoSpaceDE w:val="0"/>
        <w:autoSpaceDN w:val="0"/>
        <w:adjustRightInd w:val="0"/>
        <w:ind w:left="640" w:hanging="640"/>
        <w:rPr>
          <w:rFonts w:ascii="Times New Roman" w:hAnsi="Times New Roman"/>
          <w:noProof/>
          <w:sz w:val="20"/>
        </w:rPr>
      </w:pPr>
      <w:r w:rsidRPr="00916BD1">
        <w:rPr>
          <w:rFonts w:ascii="Times New Roman" w:hAnsi="Times New Roman"/>
          <w:noProof/>
          <w:sz w:val="20"/>
        </w:rPr>
        <w:t xml:space="preserve">27. </w:t>
      </w:r>
      <w:r w:rsidRPr="00916BD1">
        <w:rPr>
          <w:rFonts w:ascii="Times New Roman" w:hAnsi="Times New Roman"/>
          <w:noProof/>
          <w:sz w:val="20"/>
        </w:rPr>
        <w:tab/>
        <w:t xml:space="preserve">Sinha A, Sazawal S, Kumar R, Sood S. Typhoid fever in children aged less than 5 years. Lancet. 1999;354: 734–737. </w:t>
      </w:r>
    </w:p>
    <w:p w14:paraId="0E3BB4D5" w14:textId="3809D087" w:rsidR="00DD28A5" w:rsidRPr="001057CB" w:rsidRDefault="00453C7D" w:rsidP="00916BD1">
      <w:pPr>
        <w:widowControl w:val="0"/>
        <w:autoSpaceDE w:val="0"/>
        <w:autoSpaceDN w:val="0"/>
        <w:adjustRightInd w:val="0"/>
        <w:ind w:left="640" w:hanging="640"/>
        <w:rPr>
          <w:rFonts w:ascii="Times New Roman" w:hAnsi="Times New Roman"/>
          <w:sz w:val="20"/>
          <w:szCs w:val="20"/>
        </w:rPr>
      </w:pPr>
      <w:r w:rsidRPr="001057CB">
        <w:rPr>
          <w:rFonts w:ascii="Times New Roman" w:hAnsi="Times New Roman"/>
          <w:sz w:val="20"/>
          <w:szCs w:val="20"/>
        </w:rPr>
        <w:fldChar w:fldCharType="end"/>
      </w:r>
    </w:p>
    <w:sectPr w:rsidR="00DD28A5" w:rsidRPr="001057CB" w:rsidSect="001A2D2F">
      <w:pgSz w:w="12240" w:h="15840"/>
      <w:pgMar w:top="1440" w:right="1800" w:bottom="1440" w:left="180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E4A2A8" w15:done="0"/>
  <w15:commentEx w15:paraId="26922EAF" w15:done="0"/>
  <w15:commentEx w15:paraId="5613DA4B" w15:done="0"/>
  <w15:commentEx w15:paraId="608EF5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BCDBE" w14:textId="77777777" w:rsidR="007600FA" w:rsidRDefault="007600FA" w:rsidP="002E2843">
      <w:r>
        <w:separator/>
      </w:r>
    </w:p>
  </w:endnote>
  <w:endnote w:type="continuationSeparator" w:id="0">
    <w:p w14:paraId="0D671FF5" w14:textId="77777777" w:rsidR="007600FA" w:rsidRDefault="007600FA" w:rsidP="002E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C06EE" w14:textId="77777777" w:rsidR="007600FA" w:rsidRDefault="007600FA" w:rsidP="00F03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B12C6" w14:textId="77777777" w:rsidR="007600FA" w:rsidRDefault="007600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7A99" w14:textId="77777777" w:rsidR="007600FA" w:rsidRDefault="007600FA" w:rsidP="00F03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BD1">
      <w:rPr>
        <w:rStyle w:val="PageNumber"/>
        <w:noProof/>
      </w:rPr>
      <w:t>9</w:t>
    </w:r>
    <w:r>
      <w:rPr>
        <w:rStyle w:val="PageNumber"/>
      </w:rPr>
      <w:fldChar w:fldCharType="end"/>
    </w:r>
  </w:p>
  <w:p w14:paraId="1D279074" w14:textId="77777777" w:rsidR="007600FA" w:rsidRDefault="007600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7B1E0" w14:textId="77777777" w:rsidR="007600FA" w:rsidRDefault="007600FA" w:rsidP="002E2843">
      <w:r>
        <w:separator/>
      </w:r>
    </w:p>
  </w:footnote>
  <w:footnote w:type="continuationSeparator" w:id="0">
    <w:p w14:paraId="61F91117" w14:textId="77777777" w:rsidR="007600FA" w:rsidRDefault="007600FA" w:rsidP="002E28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85611"/>
    <w:multiLevelType w:val="hybridMultilevel"/>
    <w:tmpl w:val="F912E32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71B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F8857ED"/>
    <w:multiLevelType w:val="hybridMultilevel"/>
    <w:tmpl w:val="9A34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ren, Joshua">
    <w15:presenceInfo w15:providerId="AD" w15:userId="S-1-5-21-505881439-82067924-1220176271-44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1F"/>
    <w:rsid w:val="00000B5D"/>
    <w:rsid w:val="0000101E"/>
    <w:rsid w:val="000019AB"/>
    <w:rsid w:val="0000298A"/>
    <w:rsid w:val="0000346D"/>
    <w:rsid w:val="00013C22"/>
    <w:rsid w:val="0001688B"/>
    <w:rsid w:val="00017723"/>
    <w:rsid w:val="00021D05"/>
    <w:rsid w:val="00027AF0"/>
    <w:rsid w:val="00032483"/>
    <w:rsid w:val="00033780"/>
    <w:rsid w:val="00046105"/>
    <w:rsid w:val="000545DF"/>
    <w:rsid w:val="00057BBB"/>
    <w:rsid w:val="00062933"/>
    <w:rsid w:val="0006733B"/>
    <w:rsid w:val="00082428"/>
    <w:rsid w:val="000B697F"/>
    <w:rsid w:val="000C5D53"/>
    <w:rsid w:val="000D581A"/>
    <w:rsid w:val="000D62BF"/>
    <w:rsid w:val="000E1BBE"/>
    <w:rsid w:val="000F0546"/>
    <w:rsid w:val="000F0CDD"/>
    <w:rsid w:val="000F4066"/>
    <w:rsid w:val="000F4772"/>
    <w:rsid w:val="000F47B0"/>
    <w:rsid w:val="000F6418"/>
    <w:rsid w:val="00102106"/>
    <w:rsid w:val="00104E7C"/>
    <w:rsid w:val="001057CB"/>
    <w:rsid w:val="00115A02"/>
    <w:rsid w:val="001258AC"/>
    <w:rsid w:val="00132CFA"/>
    <w:rsid w:val="001337C0"/>
    <w:rsid w:val="00141209"/>
    <w:rsid w:val="001546E9"/>
    <w:rsid w:val="001549E4"/>
    <w:rsid w:val="001622DA"/>
    <w:rsid w:val="00163425"/>
    <w:rsid w:val="001646A6"/>
    <w:rsid w:val="00184822"/>
    <w:rsid w:val="0018620B"/>
    <w:rsid w:val="00191051"/>
    <w:rsid w:val="00191842"/>
    <w:rsid w:val="001A2D2F"/>
    <w:rsid w:val="001B1197"/>
    <w:rsid w:val="001B5886"/>
    <w:rsid w:val="001C2987"/>
    <w:rsid w:val="001C3AEE"/>
    <w:rsid w:val="001D76FD"/>
    <w:rsid w:val="002005E2"/>
    <w:rsid w:val="0020482E"/>
    <w:rsid w:val="00204A60"/>
    <w:rsid w:val="002067DE"/>
    <w:rsid w:val="002167F9"/>
    <w:rsid w:val="00217484"/>
    <w:rsid w:val="00222DCE"/>
    <w:rsid w:val="00236F17"/>
    <w:rsid w:val="00237732"/>
    <w:rsid w:val="0024044D"/>
    <w:rsid w:val="00241C61"/>
    <w:rsid w:val="00251763"/>
    <w:rsid w:val="00271CC9"/>
    <w:rsid w:val="00273B99"/>
    <w:rsid w:val="00273D44"/>
    <w:rsid w:val="00284B07"/>
    <w:rsid w:val="00290B79"/>
    <w:rsid w:val="00294E81"/>
    <w:rsid w:val="002A1F9D"/>
    <w:rsid w:val="002A636E"/>
    <w:rsid w:val="002A6925"/>
    <w:rsid w:val="002B30D0"/>
    <w:rsid w:val="002E2254"/>
    <w:rsid w:val="002E2843"/>
    <w:rsid w:val="002F1C08"/>
    <w:rsid w:val="002F3158"/>
    <w:rsid w:val="00303C15"/>
    <w:rsid w:val="003056BF"/>
    <w:rsid w:val="0031425E"/>
    <w:rsid w:val="003159E3"/>
    <w:rsid w:val="003172E1"/>
    <w:rsid w:val="00324023"/>
    <w:rsid w:val="00326B1B"/>
    <w:rsid w:val="00331D73"/>
    <w:rsid w:val="00343513"/>
    <w:rsid w:val="00351C90"/>
    <w:rsid w:val="0035418C"/>
    <w:rsid w:val="0036774B"/>
    <w:rsid w:val="0038418A"/>
    <w:rsid w:val="003B75AE"/>
    <w:rsid w:val="003C5C6F"/>
    <w:rsid w:val="003D0C07"/>
    <w:rsid w:val="003D2926"/>
    <w:rsid w:val="003D38A1"/>
    <w:rsid w:val="003E513F"/>
    <w:rsid w:val="003F3E9B"/>
    <w:rsid w:val="00401A67"/>
    <w:rsid w:val="00415404"/>
    <w:rsid w:val="00416EFE"/>
    <w:rsid w:val="00422279"/>
    <w:rsid w:val="00423F55"/>
    <w:rsid w:val="004348B0"/>
    <w:rsid w:val="00437DDE"/>
    <w:rsid w:val="00442C87"/>
    <w:rsid w:val="00453C7D"/>
    <w:rsid w:val="004605C2"/>
    <w:rsid w:val="00466330"/>
    <w:rsid w:val="004672EB"/>
    <w:rsid w:val="00480448"/>
    <w:rsid w:val="00485D5F"/>
    <w:rsid w:val="00491E5B"/>
    <w:rsid w:val="00492D52"/>
    <w:rsid w:val="00496713"/>
    <w:rsid w:val="004A0BC3"/>
    <w:rsid w:val="004A2D43"/>
    <w:rsid w:val="004A6916"/>
    <w:rsid w:val="004B2A46"/>
    <w:rsid w:val="004D066C"/>
    <w:rsid w:val="004F37ED"/>
    <w:rsid w:val="004F5FBC"/>
    <w:rsid w:val="00507D4E"/>
    <w:rsid w:val="00517466"/>
    <w:rsid w:val="00517F94"/>
    <w:rsid w:val="005230CF"/>
    <w:rsid w:val="00525B08"/>
    <w:rsid w:val="00535F11"/>
    <w:rsid w:val="00535F13"/>
    <w:rsid w:val="00544C4B"/>
    <w:rsid w:val="005477F5"/>
    <w:rsid w:val="005530B6"/>
    <w:rsid w:val="00567621"/>
    <w:rsid w:val="00573C8B"/>
    <w:rsid w:val="00580640"/>
    <w:rsid w:val="005821C1"/>
    <w:rsid w:val="0058609A"/>
    <w:rsid w:val="00597894"/>
    <w:rsid w:val="005A0668"/>
    <w:rsid w:val="005A1FA9"/>
    <w:rsid w:val="005A3D89"/>
    <w:rsid w:val="005A772B"/>
    <w:rsid w:val="005A7A2C"/>
    <w:rsid w:val="005B1015"/>
    <w:rsid w:val="005C0FC5"/>
    <w:rsid w:val="005C509B"/>
    <w:rsid w:val="005D0196"/>
    <w:rsid w:val="005E4C62"/>
    <w:rsid w:val="005E5513"/>
    <w:rsid w:val="005E73C3"/>
    <w:rsid w:val="005E7A05"/>
    <w:rsid w:val="00605815"/>
    <w:rsid w:val="006369BC"/>
    <w:rsid w:val="006411FC"/>
    <w:rsid w:val="00641B20"/>
    <w:rsid w:val="006427B6"/>
    <w:rsid w:val="0064387E"/>
    <w:rsid w:val="006533A4"/>
    <w:rsid w:val="00676293"/>
    <w:rsid w:val="006867DA"/>
    <w:rsid w:val="00687065"/>
    <w:rsid w:val="00691359"/>
    <w:rsid w:val="00692464"/>
    <w:rsid w:val="00695878"/>
    <w:rsid w:val="006A2D9F"/>
    <w:rsid w:val="006A5141"/>
    <w:rsid w:val="006A5A0A"/>
    <w:rsid w:val="006A6AFB"/>
    <w:rsid w:val="006A7D49"/>
    <w:rsid w:val="006B3065"/>
    <w:rsid w:val="006C1214"/>
    <w:rsid w:val="006C2FD3"/>
    <w:rsid w:val="006C66A2"/>
    <w:rsid w:val="006E388C"/>
    <w:rsid w:val="006E7EED"/>
    <w:rsid w:val="006F4952"/>
    <w:rsid w:val="006F4C10"/>
    <w:rsid w:val="006F5B1E"/>
    <w:rsid w:val="006F7E4F"/>
    <w:rsid w:val="0070148F"/>
    <w:rsid w:val="00702F9D"/>
    <w:rsid w:val="00704019"/>
    <w:rsid w:val="00711253"/>
    <w:rsid w:val="00714297"/>
    <w:rsid w:val="00723E0F"/>
    <w:rsid w:val="00726DBB"/>
    <w:rsid w:val="00730854"/>
    <w:rsid w:val="00732980"/>
    <w:rsid w:val="00746DBC"/>
    <w:rsid w:val="00753E87"/>
    <w:rsid w:val="007600FA"/>
    <w:rsid w:val="007621BC"/>
    <w:rsid w:val="007739C1"/>
    <w:rsid w:val="00776EE9"/>
    <w:rsid w:val="0078412C"/>
    <w:rsid w:val="007858E3"/>
    <w:rsid w:val="00786CC9"/>
    <w:rsid w:val="007B7FBB"/>
    <w:rsid w:val="007C4EAC"/>
    <w:rsid w:val="007C54EF"/>
    <w:rsid w:val="007F0CAB"/>
    <w:rsid w:val="00804A1E"/>
    <w:rsid w:val="00805B57"/>
    <w:rsid w:val="00820ABE"/>
    <w:rsid w:val="0082105E"/>
    <w:rsid w:val="0083296E"/>
    <w:rsid w:val="008335FB"/>
    <w:rsid w:val="00836B91"/>
    <w:rsid w:val="008674D3"/>
    <w:rsid w:val="00870027"/>
    <w:rsid w:val="0089193E"/>
    <w:rsid w:val="00891C57"/>
    <w:rsid w:val="008A1429"/>
    <w:rsid w:val="008A3557"/>
    <w:rsid w:val="008A6ED5"/>
    <w:rsid w:val="008B4E7A"/>
    <w:rsid w:val="008B65FD"/>
    <w:rsid w:val="008B7959"/>
    <w:rsid w:val="008B7BD1"/>
    <w:rsid w:val="008C403C"/>
    <w:rsid w:val="008D5CC3"/>
    <w:rsid w:val="008D6B87"/>
    <w:rsid w:val="008D7BF7"/>
    <w:rsid w:val="008E0373"/>
    <w:rsid w:val="008E1955"/>
    <w:rsid w:val="008E7BA5"/>
    <w:rsid w:val="0090002C"/>
    <w:rsid w:val="0090519E"/>
    <w:rsid w:val="00905393"/>
    <w:rsid w:val="00907675"/>
    <w:rsid w:val="009103DA"/>
    <w:rsid w:val="00916BD1"/>
    <w:rsid w:val="0092388C"/>
    <w:rsid w:val="00935314"/>
    <w:rsid w:val="009434F2"/>
    <w:rsid w:val="0095365B"/>
    <w:rsid w:val="009539C2"/>
    <w:rsid w:val="0095479E"/>
    <w:rsid w:val="00970B85"/>
    <w:rsid w:val="009721AB"/>
    <w:rsid w:val="00976053"/>
    <w:rsid w:val="00977296"/>
    <w:rsid w:val="00990CB3"/>
    <w:rsid w:val="009926DB"/>
    <w:rsid w:val="009A27DC"/>
    <w:rsid w:val="009A5C08"/>
    <w:rsid w:val="009B3AE2"/>
    <w:rsid w:val="009E0089"/>
    <w:rsid w:val="009F1B28"/>
    <w:rsid w:val="009F307D"/>
    <w:rsid w:val="009F612F"/>
    <w:rsid w:val="009F7AD8"/>
    <w:rsid w:val="00A001F6"/>
    <w:rsid w:val="00A05C24"/>
    <w:rsid w:val="00A0688F"/>
    <w:rsid w:val="00A11772"/>
    <w:rsid w:val="00A15D90"/>
    <w:rsid w:val="00A20869"/>
    <w:rsid w:val="00A23D35"/>
    <w:rsid w:val="00A37210"/>
    <w:rsid w:val="00A47C6A"/>
    <w:rsid w:val="00A524A6"/>
    <w:rsid w:val="00A60B1C"/>
    <w:rsid w:val="00A61318"/>
    <w:rsid w:val="00A637A3"/>
    <w:rsid w:val="00A75A32"/>
    <w:rsid w:val="00A8062F"/>
    <w:rsid w:val="00A865A2"/>
    <w:rsid w:val="00AA0774"/>
    <w:rsid w:val="00AA1053"/>
    <w:rsid w:val="00AA1F1E"/>
    <w:rsid w:val="00AB0695"/>
    <w:rsid w:val="00AB1FB1"/>
    <w:rsid w:val="00AB4959"/>
    <w:rsid w:val="00AB521F"/>
    <w:rsid w:val="00AB6E0E"/>
    <w:rsid w:val="00AE31A0"/>
    <w:rsid w:val="00AE5257"/>
    <w:rsid w:val="00AE5C9D"/>
    <w:rsid w:val="00B07EED"/>
    <w:rsid w:val="00B10B17"/>
    <w:rsid w:val="00B10D7A"/>
    <w:rsid w:val="00B24CF4"/>
    <w:rsid w:val="00B360EE"/>
    <w:rsid w:val="00B456C3"/>
    <w:rsid w:val="00B46EA3"/>
    <w:rsid w:val="00B51803"/>
    <w:rsid w:val="00B527A3"/>
    <w:rsid w:val="00B5615B"/>
    <w:rsid w:val="00B57A7B"/>
    <w:rsid w:val="00B77E77"/>
    <w:rsid w:val="00B81D2F"/>
    <w:rsid w:val="00B82AC5"/>
    <w:rsid w:val="00B86A48"/>
    <w:rsid w:val="00B91A6E"/>
    <w:rsid w:val="00B95001"/>
    <w:rsid w:val="00B961FE"/>
    <w:rsid w:val="00B9676C"/>
    <w:rsid w:val="00B969A5"/>
    <w:rsid w:val="00BA1111"/>
    <w:rsid w:val="00BB198A"/>
    <w:rsid w:val="00BB43AA"/>
    <w:rsid w:val="00BC0C72"/>
    <w:rsid w:val="00BC4009"/>
    <w:rsid w:val="00BC412A"/>
    <w:rsid w:val="00BD373D"/>
    <w:rsid w:val="00BD425F"/>
    <w:rsid w:val="00BE08B2"/>
    <w:rsid w:val="00BE15F7"/>
    <w:rsid w:val="00BE5851"/>
    <w:rsid w:val="00BE7928"/>
    <w:rsid w:val="00C00A13"/>
    <w:rsid w:val="00C01EFC"/>
    <w:rsid w:val="00C110C2"/>
    <w:rsid w:val="00C12E24"/>
    <w:rsid w:val="00C145D5"/>
    <w:rsid w:val="00C1691C"/>
    <w:rsid w:val="00C17EAF"/>
    <w:rsid w:val="00C20C0E"/>
    <w:rsid w:val="00C2377C"/>
    <w:rsid w:val="00C32F93"/>
    <w:rsid w:val="00C430E7"/>
    <w:rsid w:val="00C47393"/>
    <w:rsid w:val="00C47F03"/>
    <w:rsid w:val="00C51FC6"/>
    <w:rsid w:val="00C5622E"/>
    <w:rsid w:val="00C57ABE"/>
    <w:rsid w:val="00C6018D"/>
    <w:rsid w:val="00C73C37"/>
    <w:rsid w:val="00C7406E"/>
    <w:rsid w:val="00C77444"/>
    <w:rsid w:val="00C97CED"/>
    <w:rsid w:val="00CA20C6"/>
    <w:rsid w:val="00CA73EF"/>
    <w:rsid w:val="00CA7FD1"/>
    <w:rsid w:val="00CB0F2E"/>
    <w:rsid w:val="00CB2663"/>
    <w:rsid w:val="00CD3F3B"/>
    <w:rsid w:val="00CD54F6"/>
    <w:rsid w:val="00CE1AFF"/>
    <w:rsid w:val="00CE47F8"/>
    <w:rsid w:val="00CF6F6B"/>
    <w:rsid w:val="00D13246"/>
    <w:rsid w:val="00D139B2"/>
    <w:rsid w:val="00D13CA6"/>
    <w:rsid w:val="00D268B3"/>
    <w:rsid w:val="00D455B3"/>
    <w:rsid w:val="00D61DB5"/>
    <w:rsid w:val="00D64E09"/>
    <w:rsid w:val="00D7001E"/>
    <w:rsid w:val="00D70411"/>
    <w:rsid w:val="00D71293"/>
    <w:rsid w:val="00D750C6"/>
    <w:rsid w:val="00D815D7"/>
    <w:rsid w:val="00D84BE9"/>
    <w:rsid w:val="00DA0A31"/>
    <w:rsid w:val="00DA36A6"/>
    <w:rsid w:val="00DB0B44"/>
    <w:rsid w:val="00DB213E"/>
    <w:rsid w:val="00DB454F"/>
    <w:rsid w:val="00DB79CB"/>
    <w:rsid w:val="00DB7C61"/>
    <w:rsid w:val="00DC265A"/>
    <w:rsid w:val="00DD03E7"/>
    <w:rsid w:val="00DD28A5"/>
    <w:rsid w:val="00DF503B"/>
    <w:rsid w:val="00DF512E"/>
    <w:rsid w:val="00DF7FB1"/>
    <w:rsid w:val="00E03E1A"/>
    <w:rsid w:val="00E04B1B"/>
    <w:rsid w:val="00E06CB6"/>
    <w:rsid w:val="00E10A09"/>
    <w:rsid w:val="00E11066"/>
    <w:rsid w:val="00E14787"/>
    <w:rsid w:val="00E16E18"/>
    <w:rsid w:val="00E23639"/>
    <w:rsid w:val="00E2520F"/>
    <w:rsid w:val="00E3020F"/>
    <w:rsid w:val="00E348AE"/>
    <w:rsid w:val="00E5042F"/>
    <w:rsid w:val="00E51C1C"/>
    <w:rsid w:val="00E54335"/>
    <w:rsid w:val="00E63A81"/>
    <w:rsid w:val="00E64503"/>
    <w:rsid w:val="00E66A08"/>
    <w:rsid w:val="00E753C3"/>
    <w:rsid w:val="00E83FC3"/>
    <w:rsid w:val="00E96695"/>
    <w:rsid w:val="00EA0605"/>
    <w:rsid w:val="00EA6CD1"/>
    <w:rsid w:val="00EB0EB4"/>
    <w:rsid w:val="00EB1E41"/>
    <w:rsid w:val="00EB3B15"/>
    <w:rsid w:val="00EB5786"/>
    <w:rsid w:val="00EB7741"/>
    <w:rsid w:val="00EC4B38"/>
    <w:rsid w:val="00EE0615"/>
    <w:rsid w:val="00EE70F8"/>
    <w:rsid w:val="00EE75E4"/>
    <w:rsid w:val="00EF07B2"/>
    <w:rsid w:val="00EF3682"/>
    <w:rsid w:val="00EF3CC7"/>
    <w:rsid w:val="00F0149B"/>
    <w:rsid w:val="00F0306D"/>
    <w:rsid w:val="00F14627"/>
    <w:rsid w:val="00F20330"/>
    <w:rsid w:val="00F2793C"/>
    <w:rsid w:val="00F418DD"/>
    <w:rsid w:val="00F51AC1"/>
    <w:rsid w:val="00F65BDB"/>
    <w:rsid w:val="00F70B2E"/>
    <w:rsid w:val="00F86F20"/>
    <w:rsid w:val="00F87208"/>
    <w:rsid w:val="00FA6026"/>
    <w:rsid w:val="00FA74A3"/>
    <w:rsid w:val="00FB1943"/>
    <w:rsid w:val="00FB5606"/>
    <w:rsid w:val="00FC1C20"/>
    <w:rsid w:val="00FC6B92"/>
    <w:rsid w:val="00FC77D0"/>
    <w:rsid w:val="00FE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62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BB"/>
    <w:rPr>
      <w:sz w:val="24"/>
      <w:szCs w:val="24"/>
    </w:rPr>
  </w:style>
  <w:style w:type="paragraph" w:styleId="Heading1">
    <w:name w:val="heading 1"/>
    <w:basedOn w:val="Normal"/>
    <w:next w:val="Normal"/>
    <w:link w:val="Heading1Char"/>
    <w:uiPriority w:val="9"/>
    <w:qFormat/>
    <w:rsid w:val="00C5622E"/>
    <w:pPr>
      <w:keepNext/>
      <w:keepLines/>
      <w:numPr>
        <w:numId w:val="3"/>
      </w:numPr>
      <w:spacing w:before="240"/>
      <w:outlineLvl w:val="0"/>
    </w:pPr>
    <w:rPr>
      <w:rFonts w:ascii="Calibri" w:eastAsia="MS Gothic" w:hAnsi="Calibri"/>
      <w:color w:val="365F91"/>
      <w:sz w:val="32"/>
      <w:szCs w:val="32"/>
    </w:rPr>
  </w:style>
  <w:style w:type="paragraph" w:styleId="Heading2">
    <w:name w:val="heading 2"/>
    <w:basedOn w:val="Normal"/>
    <w:next w:val="Normal"/>
    <w:link w:val="Heading2Char"/>
    <w:uiPriority w:val="9"/>
    <w:unhideWhenUsed/>
    <w:qFormat/>
    <w:rsid w:val="00C5622E"/>
    <w:pPr>
      <w:keepNext/>
      <w:keepLines/>
      <w:numPr>
        <w:ilvl w:val="1"/>
        <w:numId w:val="3"/>
      </w:numPr>
      <w:spacing w:before="40"/>
      <w:outlineLvl w:val="1"/>
    </w:pPr>
    <w:rPr>
      <w:rFonts w:ascii="Calibri" w:eastAsia="MS Gothic" w:hAnsi="Calibri"/>
      <w:color w:val="365F91"/>
      <w:sz w:val="26"/>
      <w:szCs w:val="26"/>
    </w:rPr>
  </w:style>
  <w:style w:type="paragraph" w:styleId="Heading3">
    <w:name w:val="heading 3"/>
    <w:basedOn w:val="Normal"/>
    <w:next w:val="Normal"/>
    <w:link w:val="Heading3Char"/>
    <w:uiPriority w:val="9"/>
    <w:semiHidden/>
    <w:unhideWhenUsed/>
    <w:qFormat/>
    <w:rsid w:val="00C5622E"/>
    <w:pPr>
      <w:keepNext/>
      <w:keepLines/>
      <w:numPr>
        <w:ilvl w:val="2"/>
        <w:numId w:val="3"/>
      </w:numPr>
      <w:spacing w:before="40"/>
      <w:outlineLvl w:val="2"/>
    </w:pPr>
    <w:rPr>
      <w:rFonts w:ascii="Calibri" w:eastAsia="MS Gothic" w:hAnsi="Calibri"/>
      <w:color w:val="243F60"/>
    </w:rPr>
  </w:style>
  <w:style w:type="paragraph" w:styleId="Heading4">
    <w:name w:val="heading 4"/>
    <w:basedOn w:val="Normal"/>
    <w:next w:val="Normal"/>
    <w:link w:val="Heading4Char"/>
    <w:uiPriority w:val="9"/>
    <w:semiHidden/>
    <w:unhideWhenUsed/>
    <w:qFormat/>
    <w:rsid w:val="00C5622E"/>
    <w:pPr>
      <w:keepNext/>
      <w:keepLines/>
      <w:numPr>
        <w:ilvl w:val="3"/>
        <w:numId w:val="3"/>
      </w:numPr>
      <w:spacing w:before="40"/>
      <w:outlineLvl w:val="3"/>
    </w:pPr>
    <w:rPr>
      <w:rFonts w:ascii="Calibri" w:eastAsia="MS Gothic" w:hAnsi="Calibri"/>
      <w:i/>
      <w:iCs/>
      <w:color w:val="365F91"/>
    </w:rPr>
  </w:style>
  <w:style w:type="paragraph" w:styleId="Heading5">
    <w:name w:val="heading 5"/>
    <w:basedOn w:val="Normal"/>
    <w:next w:val="Normal"/>
    <w:link w:val="Heading5Char"/>
    <w:uiPriority w:val="9"/>
    <w:semiHidden/>
    <w:unhideWhenUsed/>
    <w:qFormat/>
    <w:rsid w:val="00C5622E"/>
    <w:pPr>
      <w:keepNext/>
      <w:keepLines/>
      <w:numPr>
        <w:ilvl w:val="4"/>
        <w:numId w:val="3"/>
      </w:numPr>
      <w:spacing w:before="40"/>
      <w:outlineLvl w:val="4"/>
    </w:pPr>
    <w:rPr>
      <w:rFonts w:ascii="Calibri" w:eastAsia="MS Gothic" w:hAnsi="Calibri"/>
      <w:color w:val="365F91"/>
    </w:rPr>
  </w:style>
  <w:style w:type="paragraph" w:styleId="Heading6">
    <w:name w:val="heading 6"/>
    <w:basedOn w:val="Normal"/>
    <w:next w:val="Normal"/>
    <w:link w:val="Heading6Char"/>
    <w:uiPriority w:val="9"/>
    <w:semiHidden/>
    <w:unhideWhenUsed/>
    <w:qFormat/>
    <w:rsid w:val="00C5622E"/>
    <w:pPr>
      <w:keepNext/>
      <w:keepLines/>
      <w:numPr>
        <w:ilvl w:val="5"/>
        <w:numId w:val="3"/>
      </w:numPr>
      <w:spacing w:before="40"/>
      <w:outlineLvl w:val="5"/>
    </w:pPr>
    <w:rPr>
      <w:rFonts w:ascii="Calibri" w:eastAsia="MS Gothic" w:hAnsi="Calibri"/>
      <w:color w:val="243F60"/>
    </w:rPr>
  </w:style>
  <w:style w:type="paragraph" w:styleId="Heading7">
    <w:name w:val="heading 7"/>
    <w:basedOn w:val="Normal"/>
    <w:next w:val="Normal"/>
    <w:link w:val="Heading7Char"/>
    <w:uiPriority w:val="9"/>
    <w:semiHidden/>
    <w:unhideWhenUsed/>
    <w:qFormat/>
    <w:rsid w:val="00C5622E"/>
    <w:pPr>
      <w:keepNext/>
      <w:keepLines/>
      <w:numPr>
        <w:ilvl w:val="6"/>
        <w:numId w:val="3"/>
      </w:numPr>
      <w:spacing w:before="40"/>
      <w:outlineLvl w:val="6"/>
    </w:pPr>
    <w:rPr>
      <w:rFonts w:ascii="Calibri" w:eastAsia="MS Gothic" w:hAnsi="Calibri"/>
      <w:i/>
      <w:iCs/>
      <w:color w:val="243F60"/>
    </w:rPr>
  </w:style>
  <w:style w:type="paragraph" w:styleId="Heading8">
    <w:name w:val="heading 8"/>
    <w:basedOn w:val="Normal"/>
    <w:next w:val="Normal"/>
    <w:link w:val="Heading8Char"/>
    <w:uiPriority w:val="9"/>
    <w:semiHidden/>
    <w:unhideWhenUsed/>
    <w:qFormat/>
    <w:rsid w:val="00C5622E"/>
    <w:pPr>
      <w:keepNext/>
      <w:keepLines/>
      <w:numPr>
        <w:ilvl w:val="7"/>
        <w:numId w:val="3"/>
      </w:numPr>
      <w:spacing w:before="40"/>
      <w:outlineLvl w:val="7"/>
    </w:pPr>
    <w:rPr>
      <w:rFonts w:ascii="Calibri" w:eastAsia="MS Gothic" w:hAnsi="Calibri"/>
      <w:color w:val="272727"/>
      <w:sz w:val="21"/>
      <w:szCs w:val="21"/>
    </w:rPr>
  </w:style>
  <w:style w:type="paragraph" w:styleId="Heading9">
    <w:name w:val="heading 9"/>
    <w:basedOn w:val="Normal"/>
    <w:next w:val="Normal"/>
    <w:link w:val="Heading9Char"/>
    <w:uiPriority w:val="9"/>
    <w:semiHidden/>
    <w:unhideWhenUsed/>
    <w:qFormat/>
    <w:rsid w:val="00C5622E"/>
    <w:pPr>
      <w:keepNext/>
      <w:keepLines/>
      <w:numPr>
        <w:ilvl w:val="8"/>
        <w:numId w:val="3"/>
      </w:numPr>
      <w:spacing w:before="40"/>
      <w:outlineLvl w:val="8"/>
    </w:pPr>
    <w:rPr>
      <w:rFonts w:ascii="Calibri" w:eastAsia="MS Gothic" w:hAnsi="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F6B"/>
    <w:rPr>
      <w:rFonts w:ascii="Lucida Grande" w:hAnsi="Lucida Grande" w:cs="Lucida Grande"/>
      <w:sz w:val="18"/>
      <w:szCs w:val="18"/>
    </w:rPr>
  </w:style>
  <w:style w:type="character" w:customStyle="1" w:styleId="BalloonTextChar">
    <w:name w:val="Balloon Text Char"/>
    <w:link w:val="BalloonText"/>
    <w:uiPriority w:val="99"/>
    <w:semiHidden/>
    <w:rsid w:val="00CF6F6B"/>
    <w:rPr>
      <w:rFonts w:ascii="Lucida Grande" w:hAnsi="Lucida Grande" w:cs="Lucida Grande"/>
      <w:sz w:val="18"/>
      <w:szCs w:val="18"/>
    </w:rPr>
  </w:style>
  <w:style w:type="character" w:styleId="CommentReference">
    <w:name w:val="annotation reference"/>
    <w:uiPriority w:val="99"/>
    <w:semiHidden/>
    <w:unhideWhenUsed/>
    <w:rsid w:val="00C01EFC"/>
    <w:rPr>
      <w:sz w:val="18"/>
      <w:szCs w:val="18"/>
    </w:rPr>
  </w:style>
  <w:style w:type="paragraph" w:styleId="CommentText">
    <w:name w:val="annotation text"/>
    <w:basedOn w:val="Normal"/>
    <w:link w:val="CommentTextChar"/>
    <w:uiPriority w:val="99"/>
    <w:unhideWhenUsed/>
    <w:rsid w:val="00C01EFC"/>
  </w:style>
  <w:style w:type="character" w:customStyle="1" w:styleId="CommentTextChar">
    <w:name w:val="Comment Text Char"/>
    <w:basedOn w:val="DefaultParagraphFont"/>
    <w:link w:val="CommentText"/>
    <w:uiPriority w:val="99"/>
    <w:rsid w:val="00C01EFC"/>
  </w:style>
  <w:style w:type="paragraph" w:styleId="CommentSubject">
    <w:name w:val="annotation subject"/>
    <w:basedOn w:val="CommentText"/>
    <w:next w:val="CommentText"/>
    <w:link w:val="CommentSubjectChar"/>
    <w:uiPriority w:val="99"/>
    <w:semiHidden/>
    <w:unhideWhenUsed/>
    <w:rsid w:val="00C01EFC"/>
    <w:rPr>
      <w:b/>
      <w:bCs/>
      <w:sz w:val="20"/>
      <w:szCs w:val="20"/>
    </w:rPr>
  </w:style>
  <w:style w:type="character" w:customStyle="1" w:styleId="CommentSubjectChar">
    <w:name w:val="Comment Subject Char"/>
    <w:link w:val="CommentSubject"/>
    <w:uiPriority w:val="99"/>
    <w:semiHidden/>
    <w:rsid w:val="00C01EFC"/>
    <w:rPr>
      <w:b/>
      <w:bCs/>
      <w:sz w:val="20"/>
      <w:szCs w:val="20"/>
    </w:rPr>
  </w:style>
  <w:style w:type="paragraph" w:styleId="Revision">
    <w:name w:val="Revision"/>
    <w:hidden/>
    <w:uiPriority w:val="99"/>
    <w:semiHidden/>
    <w:rsid w:val="005A1FA9"/>
    <w:rPr>
      <w:sz w:val="24"/>
      <w:szCs w:val="24"/>
    </w:rPr>
  </w:style>
  <w:style w:type="character" w:styleId="PlaceholderText">
    <w:name w:val="Placeholder Text"/>
    <w:uiPriority w:val="99"/>
    <w:semiHidden/>
    <w:rsid w:val="00EF3CC7"/>
    <w:rPr>
      <w:color w:val="808080"/>
    </w:rPr>
  </w:style>
  <w:style w:type="paragraph" w:styleId="ListParagraph">
    <w:name w:val="List Paragraph"/>
    <w:basedOn w:val="Normal"/>
    <w:uiPriority w:val="34"/>
    <w:qFormat/>
    <w:rsid w:val="00184822"/>
    <w:pPr>
      <w:ind w:left="720"/>
      <w:contextualSpacing/>
    </w:pPr>
  </w:style>
  <w:style w:type="paragraph" w:styleId="Header">
    <w:name w:val="header"/>
    <w:basedOn w:val="Normal"/>
    <w:link w:val="HeaderChar"/>
    <w:uiPriority w:val="99"/>
    <w:unhideWhenUsed/>
    <w:rsid w:val="002E2843"/>
    <w:pPr>
      <w:tabs>
        <w:tab w:val="center" w:pos="4680"/>
        <w:tab w:val="right" w:pos="9360"/>
      </w:tabs>
    </w:pPr>
  </w:style>
  <w:style w:type="character" w:customStyle="1" w:styleId="HeaderChar">
    <w:name w:val="Header Char"/>
    <w:basedOn w:val="DefaultParagraphFont"/>
    <w:link w:val="Header"/>
    <w:uiPriority w:val="99"/>
    <w:rsid w:val="002E2843"/>
  </w:style>
  <w:style w:type="paragraph" w:styleId="Footer">
    <w:name w:val="footer"/>
    <w:basedOn w:val="Normal"/>
    <w:link w:val="FooterChar"/>
    <w:uiPriority w:val="99"/>
    <w:unhideWhenUsed/>
    <w:rsid w:val="002E2843"/>
    <w:pPr>
      <w:tabs>
        <w:tab w:val="center" w:pos="4680"/>
        <w:tab w:val="right" w:pos="9360"/>
      </w:tabs>
    </w:pPr>
  </w:style>
  <w:style w:type="character" w:customStyle="1" w:styleId="FooterChar">
    <w:name w:val="Footer Char"/>
    <w:basedOn w:val="DefaultParagraphFont"/>
    <w:link w:val="Footer"/>
    <w:uiPriority w:val="99"/>
    <w:rsid w:val="002E2843"/>
  </w:style>
  <w:style w:type="character" w:styleId="Hyperlink">
    <w:name w:val="Hyperlink"/>
    <w:uiPriority w:val="99"/>
    <w:unhideWhenUsed/>
    <w:rsid w:val="002E2843"/>
    <w:rPr>
      <w:color w:val="0000FF"/>
      <w:u w:val="single"/>
    </w:rPr>
  </w:style>
  <w:style w:type="paragraph" w:styleId="DocumentMap">
    <w:name w:val="Document Map"/>
    <w:basedOn w:val="Normal"/>
    <w:link w:val="DocumentMapChar"/>
    <w:uiPriority w:val="99"/>
    <w:semiHidden/>
    <w:unhideWhenUsed/>
    <w:rsid w:val="00CA20C6"/>
    <w:rPr>
      <w:rFonts w:ascii="Times New Roman" w:hAnsi="Times New Roman"/>
    </w:rPr>
  </w:style>
  <w:style w:type="character" w:customStyle="1" w:styleId="DocumentMapChar">
    <w:name w:val="Document Map Char"/>
    <w:link w:val="DocumentMap"/>
    <w:uiPriority w:val="99"/>
    <w:semiHidden/>
    <w:rsid w:val="00CA20C6"/>
    <w:rPr>
      <w:rFonts w:ascii="Times New Roman" w:hAnsi="Times New Roman" w:cs="Times New Roman"/>
    </w:rPr>
  </w:style>
  <w:style w:type="character" w:customStyle="1" w:styleId="Heading1Char">
    <w:name w:val="Heading 1 Char"/>
    <w:link w:val="Heading1"/>
    <w:uiPriority w:val="9"/>
    <w:rsid w:val="00C5622E"/>
    <w:rPr>
      <w:rFonts w:ascii="Calibri" w:eastAsia="MS Gothic" w:hAnsi="Calibri" w:cs="Times New Roman"/>
      <w:color w:val="365F91"/>
      <w:sz w:val="32"/>
      <w:szCs w:val="32"/>
    </w:rPr>
  </w:style>
  <w:style w:type="character" w:customStyle="1" w:styleId="Heading2Char">
    <w:name w:val="Heading 2 Char"/>
    <w:link w:val="Heading2"/>
    <w:uiPriority w:val="9"/>
    <w:rsid w:val="00C5622E"/>
    <w:rPr>
      <w:rFonts w:ascii="Calibri" w:eastAsia="MS Gothic" w:hAnsi="Calibri" w:cs="Times New Roman"/>
      <w:color w:val="365F91"/>
      <w:sz w:val="26"/>
      <w:szCs w:val="26"/>
    </w:rPr>
  </w:style>
  <w:style w:type="character" w:customStyle="1" w:styleId="Heading3Char">
    <w:name w:val="Heading 3 Char"/>
    <w:link w:val="Heading3"/>
    <w:uiPriority w:val="9"/>
    <w:semiHidden/>
    <w:rsid w:val="00C5622E"/>
    <w:rPr>
      <w:rFonts w:ascii="Calibri" w:eastAsia="MS Gothic" w:hAnsi="Calibri" w:cs="Times New Roman"/>
      <w:color w:val="243F60"/>
    </w:rPr>
  </w:style>
  <w:style w:type="character" w:customStyle="1" w:styleId="Heading4Char">
    <w:name w:val="Heading 4 Char"/>
    <w:link w:val="Heading4"/>
    <w:uiPriority w:val="9"/>
    <w:semiHidden/>
    <w:rsid w:val="00C5622E"/>
    <w:rPr>
      <w:rFonts w:ascii="Calibri" w:eastAsia="MS Gothic" w:hAnsi="Calibri" w:cs="Times New Roman"/>
      <w:i/>
      <w:iCs/>
      <w:color w:val="365F91"/>
    </w:rPr>
  </w:style>
  <w:style w:type="character" w:customStyle="1" w:styleId="Heading5Char">
    <w:name w:val="Heading 5 Char"/>
    <w:link w:val="Heading5"/>
    <w:uiPriority w:val="9"/>
    <w:semiHidden/>
    <w:rsid w:val="00C5622E"/>
    <w:rPr>
      <w:rFonts w:ascii="Calibri" w:eastAsia="MS Gothic" w:hAnsi="Calibri" w:cs="Times New Roman"/>
      <w:color w:val="365F91"/>
    </w:rPr>
  </w:style>
  <w:style w:type="character" w:customStyle="1" w:styleId="Heading6Char">
    <w:name w:val="Heading 6 Char"/>
    <w:link w:val="Heading6"/>
    <w:uiPriority w:val="9"/>
    <w:semiHidden/>
    <w:rsid w:val="00C5622E"/>
    <w:rPr>
      <w:rFonts w:ascii="Calibri" w:eastAsia="MS Gothic" w:hAnsi="Calibri" w:cs="Times New Roman"/>
      <w:color w:val="243F60"/>
    </w:rPr>
  </w:style>
  <w:style w:type="character" w:customStyle="1" w:styleId="Heading7Char">
    <w:name w:val="Heading 7 Char"/>
    <w:link w:val="Heading7"/>
    <w:uiPriority w:val="9"/>
    <w:semiHidden/>
    <w:rsid w:val="00C5622E"/>
    <w:rPr>
      <w:rFonts w:ascii="Calibri" w:eastAsia="MS Gothic" w:hAnsi="Calibri" w:cs="Times New Roman"/>
      <w:i/>
      <w:iCs/>
      <w:color w:val="243F60"/>
    </w:rPr>
  </w:style>
  <w:style w:type="character" w:customStyle="1" w:styleId="Heading8Char">
    <w:name w:val="Heading 8 Char"/>
    <w:link w:val="Heading8"/>
    <w:uiPriority w:val="9"/>
    <w:semiHidden/>
    <w:rsid w:val="00C5622E"/>
    <w:rPr>
      <w:rFonts w:ascii="Calibri" w:eastAsia="MS Gothic" w:hAnsi="Calibri" w:cs="Times New Roman"/>
      <w:color w:val="272727"/>
      <w:sz w:val="21"/>
      <w:szCs w:val="21"/>
    </w:rPr>
  </w:style>
  <w:style w:type="character" w:customStyle="1" w:styleId="Heading9Char">
    <w:name w:val="Heading 9 Char"/>
    <w:link w:val="Heading9"/>
    <w:uiPriority w:val="9"/>
    <w:semiHidden/>
    <w:rsid w:val="00C5622E"/>
    <w:rPr>
      <w:rFonts w:ascii="Calibri" w:eastAsia="MS Gothic" w:hAnsi="Calibri" w:cs="Times New Roman"/>
      <w:i/>
      <w:iCs/>
      <w:color w:val="272727"/>
      <w:sz w:val="21"/>
      <w:szCs w:val="21"/>
    </w:rPr>
  </w:style>
  <w:style w:type="table" w:styleId="TableGrid">
    <w:name w:val="Table Grid"/>
    <w:basedOn w:val="TableNormal"/>
    <w:uiPriority w:val="59"/>
    <w:rsid w:val="00290B79"/>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90B79"/>
    <w:pPr>
      <w:spacing w:after="200"/>
    </w:pPr>
    <w:rPr>
      <w:rFonts w:asciiTheme="minorHAnsi" w:eastAsiaTheme="minorEastAsia" w:hAnsiTheme="minorHAnsi" w:cstheme="minorBidi"/>
      <w:b/>
      <w:bCs/>
      <w:color w:val="4F81BD" w:themeColor="accent1"/>
      <w:sz w:val="18"/>
      <w:szCs w:val="18"/>
    </w:rPr>
  </w:style>
  <w:style w:type="paragraph" w:styleId="NormalWeb">
    <w:name w:val="Normal (Web)"/>
    <w:basedOn w:val="Normal"/>
    <w:uiPriority w:val="99"/>
    <w:semiHidden/>
    <w:unhideWhenUsed/>
    <w:rsid w:val="00695878"/>
    <w:pPr>
      <w:spacing w:before="100" w:beforeAutospacing="1" w:after="100" w:afterAutospacing="1"/>
    </w:pPr>
    <w:rPr>
      <w:rFonts w:ascii="Times" w:eastAsiaTheme="minorEastAsia" w:hAnsi="Times"/>
      <w:sz w:val="20"/>
      <w:szCs w:val="20"/>
    </w:rPr>
  </w:style>
  <w:style w:type="character" w:styleId="LineNumber">
    <w:name w:val="line number"/>
    <w:basedOn w:val="DefaultParagraphFont"/>
    <w:uiPriority w:val="99"/>
    <w:semiHidden/>
    <w:unhideWhenUsed/>
    <w:rsid w:val="00191051"/>
  </w:style>
  <w:style w:type="character" w:styleId="PageNumber">
    <w:name w:val="page number"/>
    <w:basedOn w:val="DefaultParagraphFont"/>
    <w:uiPriority w:val="99"/>
    <w:semiHidden/>
    <w:unhideWhenUsed/>
    <w:rsid w:val="00F030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BB"/>
    <w:rPr>
      <w:sz w:val="24"/>
      <w:szCs w:val="24"/>
    </w:rPr>
  </w:style>
  <w:style w:type="paragraph" w:styleId="Heading1">
    <w:name w:val="heading 1"/>
    <w:basedOn w:val="Normal"/>
    <w:next w:val="Normal"/>
    <w:link w:val="Heading1Char"/>
    <w:uiPriority w:val="9"/>
    <w:qFormat/>
    <w:rsid w:val="00C5622E"/>
    <w:pPr>
      <w:keepNext/>
      <w:keepLines/>
      <w:numPr>
        <w:numId w:val="3"/>
      </w:numPr>
      <w:spacing w:before="240"/>
      <w:outlineLvl w:val="0"/>
    </w:pPr>
    <w:rPr>
      <w:rFonts w:ascii="Calibri" w:eastAsia="MS Gothic" w:hAnsi="Calibri"/>
      <w:color w:val="365F91"/>
      <w:sz w:val="32"/>
      <w:szCs w:val="32"/>
    </w:rPr>
  </w:style>
  <w:style w:type="paragraph" w:styleId="Heading2">
    <w:name w:val="heading 2"/>
    <w:basedOn w:val="Normal"/>
    <w:next w:val="Normal"/>
    <w:link w:val="Heading2Char"/>
    <w:uiPriority w:val="9"/>
    <w:unhideWhenUsed/>
    <w:qFormat/>
    <w:rsid w:val="00C5622E"/>
    <w:pPr>
      <w:keepNext/>
      <w:keepLines/>
      <w:numPr>
        <w:ilvl w:val="1"/>
        <w:numId w:val="3"/>
      </w:numPr>
      <w:spacing w:before="40"/>
      <w:outlineLvl w:val="1"/>
    </w:pPr>
    <w:rPr>
      <w:rFonts w:ascii="Calibri" w:eastAsia="MS Gothic" w:hAnsi="Calibri"/>
      <w:color w:val="365F91"/>
      <w:sz w:val="26"/>
      <w:szCs w:val="26"/>
    </w:rPr>
  </w:style>
  <w:style w:type="paragraph" w:styleId="Heading3">
    <w:name w:val="heading 3"/>
    <w:basedOn w:val="Normal"/>
    <w:next w:val="Normal"/>
    <w:link w:val="Heading3Char"/>
    <w:uiPriority w:val="9"/>
    <w:semiHidden/>
    <w:unhideWhenUsed/>
    <w:qFormat/>
    <w:rsid w:val="00C5622E"/>
    <w:pPr>
      <w:keepNext/>
      <w:keepLines/>
      <w:numPr>
        <w:ilvl w:val="2"/>
        <w:numId w:val="3"/>
      </w:numPr>
      <w:spacing w:before="40"/>
      <w:outlineLvl w:val="2"/>
    </w:pPr>
    <w:rPr>
      <w:rFonts w:ascii="Calibri" w:eastAsia="MS Gothic" w:hAnsi="Calibri"/>
      <w:color w:val="243F60"/>
    </w:rPr>
  </w:style>
  <w:style w:type="paragraph" w:styleId="Heading4">
    <w:name w:val="heading 4"/>
    <w:basedOn w:val="Normal"/>
    <w:next w:val="Normal"/>
    <w:link w:val="Heading4Char"/>
    <w:uiPriority w:val="9"/>
    <w:semiHidden/>
    <w:unhideWhenUsed/>
    <w:qFormat/>
    <w:rsid w:val="00C5622E"/>
    <w:pPr>
      <w:keepNext/>
      <w:keepLines/>
      <w:numPr>
        <w:ilvl w:val="3"/>
        <w:numId w:val="3"/>
      </w:numPr>
      <w:spacing w:before="40"/>
      <w:outlineLvl w:val="3"/>
    </w:pPr>
    <w:rPr>
      <w:rFonts w:ascii="Calibri" w:eastAsia="MS Gothic" w:hAnsi="Calibri"/>
      <w:i/>
      <w:iCs/>
      <w:color w:val="365F91"/>
    </w:rPr>
  </w:style>
  <w:style w:type="paragraph" w:styleId="Heading5">
    <w:name w:val="heading 5"/>
    <w:basedOn w:val="Normal"/>
    <w:next w:val="Normal"/>
    <w:link w:val="Heading5Char"/>
    <w:uiPriority w:val="9"/>
    <w:semiHidden/>
    <w:unhideWhenUsed/>
    <w:qFormat/>
    <w:rsid w:val="00C5622E"/>
    <w:pPr>
      <w:keepNext/>
      <w:keepLines/>
      <w:numPr>
        <w:ilvl w:val="4"/>
        <w:numId w:val="3"/>
      </w:numPr>
      <w:spacing w:before="40"/>
      <w:outlineLvl w:val="4"/>
    </w:pPr>
    <w:rPr>
      <w:rFonts w:ascii="Calibri" w:eastAsia="MS Gothic" w:hAnsi="Calibri"/>
      <w:color w:val="365F91"/>
    </w:rPr>
  </w:style>
  <w:style w:type="paragraph" w:styleId="Heading6">
    <w:name w:val="heading 6"/>
    <w:basedOn w:val="Normal"/>
    <w:next w:val="Normal"/>
    <w:link w:val="Heading6Char"/>
    <w:uiPriority w:val="9"/>
    <w:semiHidden/>
    <w:unhideWhenUsed/>
    <w:qFormat/>
    <w:rsid w:val="00C5622E"/>
    <w:pPr>
      <w:keepNext/>
      <w:keepLines/>
      <w:numPr>
        <w:ilvl w:val="5"/>
        <w:numId w:val="3"/>
      </w:numPr>
      <w:spacing w:before="40"/>
      <w:outlineLvl w:val="5"/>
    </w:pPr>
    <w:rPr>
      <w:rFonts w:ascii="Calibri" w:eastAsia="MS Gothic" w:hAnsi="Calibri"/>
      <w:color w:val="243F60"/>
    </w:rPr>
  </w:style>
  <w:style w:type="paragraph" w:styleId="Heading7">
    <w:name w:val="heading 7"/>
    <w:basedOn w:val="Normal"/>
    <w:next w:val="Normal"/>
    <w:link w:val="Heading7Char"/>
    <w:uiPriority w:val="9"/>
    <w:semiHidden/>
    <w:unhideWhenUsed/>
    <w:qFormat/>
    <w:rsid w:val="00C5622E"/>
    <w:pPr>
      <w:keepNext/>
      <w:keepLines/>
      <w:numPr>
        <w:ilvl w:val="6"/>
        <w:numId w:val="3"/>
      </w:numPr>
      <w:spacing w:before="40"/>
      <w:outlineLvl w:val="6"/>
    </w:pPr>
    <w:rPr>
      <w:rFonts w:ascii="Calibri" w:eastAsia="MS Gothic" w:hAnsi="Calibri"/>
      <w:i/>
      <w:iCs/>
      <w:color w:val="243F60"/>
    </w:rPr>
  </w:style>
  <w:style w:type="paragraph" w:styleId="Heading8">
    <w:name w:val="heading 8"/>
    <w:basedOn w:val="Normal"/>
    <w:next w:val="Normal"/>
    <w:link w:val="Heading8Char"/>
    <w:uiPriority w:val="9"/>
    <w:semiHidden/>
    <w:unhideWhenUsed/>
    <w:qFormat/>
    <w:rsid w:val="00C5622E"/>
    <w:pPr>
      <w:keepNext/>
      <w:keepLines/>
      <w:numPr>
        <w:ilvl w:val="7"/>
        <w:numId w:val="3"/>
      </w:numPr>
      <w:spacing w:before="40"/>
      <w:outlineLvl w:val="7"/>
    </w:pPr>
    <w:rPr>
      <w:rFonts w:ascii="Calibri" w:eastAsia="MS Gothic" w:hAnsi="Calibri"/>
      <w:color w:val="272727"/>
      <w:sz w:val="21"/>
      <w:szCs w:val="21"/>
    </w:rPr>
  </w:style>
  <w:style w:type="paragraph" w:styleId="Heading9">
    <w:name w:val="heading 9"/>
    <w:basedOn w:val="Normal"/>
    <w:next w:val="Normal"/>
    <w:link w:val="Heading9Char"/>
    <w:uiPriority w:val="9"/>
    <w:semiHidden/>
    <w:unhideWhenUsed/>
    <w:qFormat/>
    <w:rsid w:val="00C5622E"/>
    <w:pPr>
      <w:keepNext/>
      <w:keepLines/>
      <w:numPr>
        <w:ilvl w:val="8"/>
        <w:numId w:val="3"/>
      </w:numPr>
      <w:spacing w:before="40"/>
      <w:outlineLvl w:val="8"/>
    </w:pPr>
    <w:rPr>
      <w:rFonts w:ascii="Calibri" w:eastAsia="MS Gothic" w:hAnsi="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F6B"/>
    <w:rPr>
      <w:rFonts w:ascii="Lucida Grande" w:hAnsi="Lucida Grande" w:cs="Lucida Grande"/>
      <w:sz w:val="18"/>
      <w:szCs w:val="18"/>
    </w:rPr>
  </w:style>
  <w:style w:type="character" w:customStyle="1" w:styleId="BalloonTextChar">
    <w:name w:val="Balloon Text Char"/>
    <w:link w:val="BalloonText"/>
    <w:uiPriority w:val="99"/>
    <w:semiHidden/>
    <w:rsid w:val="00CF6F6B"/>
    <w:rPr>
      <w:rFonts w:ascii="Lucida Grande" w:hAnsi="Lucida Grande" w:cs="Lucida Grande"/>
      <w:sz w:val="18"/>
      <w:szCs w:val="18"/>
    </w:rPr>
  </w:style>
  <w:style w:type="character" w:styleId="CommentReference">
    <w:name w:val="annotation reference"/>
    <w:uiPriority w:val="99"/>
    <w:semiHidden/>
    <w:unhideWhenUsed/>
    <w:rsid w:val="00C01EFC"/>
    <w:rPr>
      <w:sz w:val="18"/>
      <w:szCs w:val="18"/>
    </w:rPr>
  </w:style>
  <w:style w:type="paragraph" w:styleId="CommentText">
    <w:name w:val="annotation text"/>
    <w:basedOn w:val="Normal"/>
    <w:link w:val="CommentTextChar"/>
    <w:uiPriority w:val="99"/>
    <w:unhideWhenUsed/>
    <w:rsid w:val="00C01EFC"/>
  </w:style>
  <w:style w:type="character" w:customStyle="1" w:styleId="CommentTextChar">
    <w:name w:val="Comment Text Char"/>
    <w:basedOn w:val="DefaultParagraphFont"/>
    <w:link w:val="CommentText"/>
    <w:uiPriority w:val="99"/>
    <w:rsid w:val="00C01EFC"/>
  </w:style>
  <w:style w:type="paragraph" w:styleId="CommentSubject">
    <w:name w:val="annotation subject"/>
    <w:basedOn w:val="CommentText"/>
    <w:next w:val="CommentText"/>
    <w:link w:val="CommentSubjectChar"/>
    <w:uiPriority w:val="99"/>
    <w:semiHidden/>
    <w:unhideWhenUsed/>
    <w:rsid w:val="00C01EFC"/>
    <w:rPr>
      <w:b/>
      <w:bCs/>
      <w:sz w:val="20"/>
      <w:szCs w:val="20"/>
    </w:rPr>
  </w:style>
  <w:style w:type="character" w:customStyle="1" w:styleId="CommentSubjectChar">
    <w:name w:val="Comment Subject Char"/>
    <w:link w:val="CommentSubject"/>
    <w:uiPriority w:val="99"/>
    <w:semiHidden/>
    <w:rsid w:val="00C01EFC"/>
    <w:rPr>
      <w:b/>
      <w:bCs/>
      <w:sz w:val="20"/>
      <w:szCs w:val="20"/>
    </w:rPr>
  </w:style>
  <w:style w:type="paragraph" w:styleId="Revision">
    <w:name w:val="Revision"/>
    <w:hidden/>
    <w:uiPriority w:val="99"/>
    <w:semiHidden/>
    <w:rsid w:val="005A1FA9"/>
    <w:rPr>
      <w:sz w:val="24"/>
      <w:szCs w:val="24"/>
    </w:rPr>
  </w:style>
  <w:style w:type="character" w:styleId="PlaceholderText">
    <w:name w:val="Placeholder Text"/>
    <w:uiPriority w:val="99"/>
    <w:semiHidden/>
    <w:rsid w:val="00EF3CC7"/>
    <w:rPr>
      <w:color w:val="808080"/>
    </w:rPr>
  </w:style>
  <w:style w:type="paragraph" w:styleId="ListParagraph">
    <w:name w:val="List Paragraph"/>
    <w:basedOn w:val="Normal"/>
    <w:uiPriority w:val="34"/>
    <w:qFormat/>
    <w:rsid w:val="00184822"/>
    <w:pPr>
      <w:ind w:left="720"/>
      <w:contextualSpacing/>
    </w:pPr>
  </w:style>
  <w:style w:type="paragraph" w:styleId="Header">
    <w:name w:val="header"/>
    <w:basedOn w:val="Normal"/>
    <w:link w:val="HeaderChar"/>
    <w:uiPriority w:val="99"/>
    <w:unhideWhenUsed/>
    <w:rsid w:val="002E2843"/>
    <w:pPr>
      <w:tabs>
        <w:tab w:val="center" w:pos="4680"/>
        <w:tab w:val="right" w:pos="9360"/>
      </w:tabs>
    </w:pPr>
  </w:style>
  <w:style w:type="character" w:customStyle="1" w:styleId="HeaderChar">
    <w:name w:val="Header Char"/>
    <w:basedOn w:val="DefaultParagraphFont"/>
    <w:link w:val="Header"/>
    <w:uiPriority w:val="99"/>
    <w:rsid w:val="002E2843"/>
  </w:style>
  <w:style w:type="paragraph" w:styleId="Footer">
    <w:name w:val="footer"/>
    <w:basedOn w:val="Normal"/>
    <w:link w:val="FooterChar"/>
    <w:uiPriority w:val="99"/>
    <w:unhideWhenUsed/>
    <w:rsid w:val="002E2843"/>
    <w:pPr>
      <w:tabs>
        <w:tab w:val="center" w:pos="4680"/>
        <w:tab w:val="right" w:pos="9360"/>
      </w:tabs>
    </w:pPr>
  </w:style>
  <w:style w:type="character" w:customStyle="1" w:styleId="FooterChar">
    <w:name w:val="Footer Char"/>
    <w:basedOn w:val="DefaultParagraphFont"/>
    <w:link w:val="Footer"/>
    <w:uiPriority w:val="99"/>
    <w:rsid w:val="002E2843"/>
  </w:style>
  <w:style w:type="character" w:styleId="Hyperlink">
    <w:name w:val="Hyperlink"/>
    <w:uiPriority w:val="99"/>
    <w:unhideWhenUsed/>
    <w:rsid w:val="002E2843"/>
    <w:rPr>
      <w:color w:val="0000FF"/>
      <w:u w:val="single"/>
    </w:rPr>
  </w:style>
  <w:style w:type="paragraph" w:styleId="DocumentMap">
    <w:name w:val="Document Map"/>
    <w:basedOn w:val="Normal"/>
    <w:link w:val="DocumentMapChar"/>
    <w:uiPriority w:val="99"/>
    <w:semiHidden/>
    <w:unhideWhenUsed/>
    <w:rsid w:val="00CA20C6"/>
    <w:rPr>
      <w:rFonts w:ascii="Times New Roman" w:hAnsi="Times New Roman"/>
    </w:rPr>
  </w:style>
  <w:style w:type="character" w:customStyle="1" w:styleId="DocumentMapChar">
    <w:name w:val="Document Map Char"/>
    <w:link w:val="DocumentMap"/>
    <w:uiPriority w:val="99"/>
    <w:semiHidden/>
    <w:rsid w:val="00CA20C6"/>
    <w:rPr>
      <w:rFonts w:ascii="Times New Roman" w:hAnsi="Times New Roman" w:cs="Times New Roman"/>
    </w:rPr>
  </w:style>
  <w:style w:type="character" w:customStyle="1" w:styleId="Heading1Char">
    <w:name w:val="Heading 1 Char"/>
    <w:link w:val="Heading1"/>
    <w:uiPriority w:val="9"/>
    <w:rsid w:val="00C5622E"/>
    <w:rPr>
      <w:rFonts w:ascii="Calibri" w:eastAsia="MS Gothic" w:hAnsi="Calibri" w:cs="Times New Roman"/>
      <w:color w:val="365F91"/>
      <w:sz w:val="32"/>
      <w:szCs w:val="32"/>
    </w:rPr>
  </w:style>
  <w:style w:type="character" w:customStyle="1" w:styleId="Heading2Char">
    <w:name w:val="Heading 2 Char"/>
    <w:link w:val="Heading2"/>
    <w:uiPriority w:val="9"/>
    <w:rsid w:val="00C5622E"/>
    <w:rPr>
      <w:rFonts w:ascii="Calibri" w:eastAsia="MS Gothic" w:hAnsi="Calibri" w:cs="Times New Roman"/>
      <w:color w:val="365F91"/>
      <w:sz w:val="26"/>
      <w:szCs w:val="26"/>
    </w:rPr>
  </w:style>
  <w:style w:type="character" w:customStyle="1" w:styleId="Heading3Char">
    <w:name w:val="Heading 3 Char"/>
    <w:link w:val="Heading3"/>
    <w:uiPriority w:val="9"/>
    <w:semiHidden/>
    <w:rsid w:val="00C5622E"/>
    <w:rPr>
      <w:rFonts w:ascii="Calibri" w:eastAsia="MS Gothic" w:hAnsi="Calibri" w:cs="Times New Roman"/>
      <w:color w:val="243F60"/>
    </w:rPr>
  </w:style>
  <w:style w:type="character" w:customStyle="1" w:styleId="Heading4Char">
    <w:name w:val="Heading 4 Char"/>
    <w:link w:val="Heading4"/>
    <w:uiPriority w:val="9"/>
    <w:semiHidden/>
    <w:rsid w:val="00C5622E"/>
    <w:rPr>
      <w:rFonts w:ascii="Calibri" w:eastAsia="MS Gothic" w:hAnsi="Calibri" w:cs="Times New Roman"/>
      <w:i/>
      <w:iCs/>
      <w:color w:val="365F91"/>
    </w:rPr>
  </w:style>
  <w:style w:type="character" w:customStyle="1" w:styleId="Heading5Char">
    <w:name w:val="Heading 5 Char"/>
    <w:link w:val="Heading5"/>
    <w:uiPriority w:val="9"/>
    <w:semiHidden/>
    <w:rsid w:val="00C5622E"/>
    <w:rPr>
      <w:rFonts w:ascii="Calibri" w:eastAsia="MS Gothic" w:hAnsi="Calibri" w:cs="Times New Roman"/>
      <w:color w:val="365F91"/>
    </w:rPr>
  </w:style>
  <w:style w:type="character" w:customStyle="1" w:styleId="Heading6Char">
    <w:name w:val="Heading 6 Char"/>
    <w:link w:val="Heading6"/>
    <w:uiPriority w:val="9"/>
    <w:semiHidden/>
    <w:rsid w:val="00C5622E"/>
    <w:rPr>
      <w:rFonts w:ascii="Calibri" w:eastAsia="MS Gothic" w:hAnsi="Calibri" w:cs="Times New Roman"/>
      <w:color w:val="243F60"/>
    </w:rPr>
  </w:style>
  <w:style w:type="character" w:customStyle="1" w:styleId="Heading7Char">
    <w:name w:val="Heading 7 Char"/>
    <w:link w:val="Heading7"/>
    <w:uiPriority w:val="9"/>
    <w:semiHidden/>
    <w:rsid w:val="00C5622E"/>
    <w:rPr>
      <w:rFonts w:ascii="Calibri" w:eastAsia="MS Gothic" w:hAnsi="Calibri" w:cs="Times New Roman"/>
      <w:i/>
      <w:iCs/>
      <w:color w:val="243F60"/>
    </w:rPr>
  </w:style>
  <w:style w:type="character" w:customStyle="1" w:styleId="Heading8Char">
    <w:name w:val="Heading 8 Char"/>
    <w:link w:val="Heading8"/>
    <w:uiPriority w:val="9"/>
    <w:semiHidden/>
    <w:rsid w:val="00C5622E"/>
    <w:rPr>
      <w:rFonts w:ascii="Calibri" w:eastAsia="MS Gothic" w:hAnsi="Calibri" w:cs="Times New Roman"/>
      <w:color w:val="272727"/>
      <w:sz w:val="21"/>
      <w:szCs w:val="21"/>
    </w:rPr>
  </w:style>
  <w:style w:type="character" w:customStyle="1" w:styleId="Heading9Char">
    <w:name w:val="Heading 9 Char"/>
    <w:link w:val="Heading9"/>
    <w:uiPriority w:val="9"/>
    <w:semiHidden/>
    <w:rsid w:val="00C5622E"/>
    <w:rPr>
      <w:rFonts w:ascii="Calibri" w:eastAsia="MS Gothic" w:hAnsi="Calibri" w:cs="Times New Roman"/>
      <w:i/>
      <w:iCs/>
      <w:color w:val="272727"/>
      <w:sz w:val="21"/>
      <w:szCs w:val="21"/>
    </w:rPr>
  </w:style>
  <w:style w:type="table" w:styleId="TableGrid">
    <w:name w:val="Table Grid"/>
    <w:basedOn w:val="TableNormal"/>
    <w:uiPriority w:val="59"/>
    <w:rsid w:val="00290B79"/>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90B79"/>
    <w:pPr>
      <w:spacing w:after="200"/>
    </w:pPr>
    <w:rPr>
      <w:rFonts w:asciiTheme="minorHAnsi" w:eastAsiaTheme="minorEastAsia" w:hAnsiTheme="minorHAnsi" w:cstheme="minorBidi"/>
      <w:b/>
      <w:bCs/>
      <w:color w:val="4F81BD" w:themeColor="accent1"/>
      <w:sz w:val="18"/>
      <w:szCs w:val="18"/>
    </w:rPr>
  </w:style>
  <w:style w:type="paragraph" w:styleId="NormalWeb">
    <w:name w:val="Normal (Web)"/>
    <w:basedOn w:val="Normal"/>
    <w:uiPriority w:val="99"/>
    <w:semiHidden/>
    <w:unhideWhenUsed/>
    <w:rsid w:val="00695878"/>
    <w:pPr>
      <w:spacing w:before="100" w:beforeAutospacing="1" w:after="100" w:afterAutospacing="1"/>
    </w:pPr>
    <w:rPr>
      <w:rFonts w:ascii="Times" w:eastAsiaTheme="minorEastAsia" w:hAnsi="Times"/>
      <w:sz w:val="20"/>
      <w:szCs w:val="20"/>
    </w:rPr>
  </w:style>
  <w:style w:type="character" w:styleId="LineNumber">
    <w:name w:val="line number"/>
    <w:basedOn w:val="DefaultParagraphFont"/>
    <w:uiPriority w:val="99"/>
    <w:semiHidden/>
    <w:unhideWhenUsed/>
    <w:rsid w:val="00191051"/>
  </w:style>
  <w:style w:type="character" w:styleId="PageNumber">
    <w:name w:val="page number"/>
    <w:basedOn w:val="DefaultParagraphFont"/>
    <w:uiPriority w:val="99"/>
    <w:semiHidden/>
    <w:unhideWhenUsed/>
    <w:rsid w:val="00F0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6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0B06-F992-2E4A-A928-F1ED2B60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15448</Words>
  <Characters>88054</Characters>
  <Application>Microsoft Macintosh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Antillon</dc:creator>
  <cp:keywords/>
  <dc:description/>
  <cp:lastModifiedBy>Marina Antillon</cp:lastModifiedBy>
  <cp:revision>22</cp:revision>
  <dcterms:created xsi:type="dcterms:W3CDTF">2017-01-04T16:41:00Z</dcterms:created>
  <dcterms:modified xsi:type="dcterms:W3CDTF">2017-02-10T04:57:00Z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endeley Document_1">
    <vt:lpwstr>True</vt:lpwstr>
  </property>
  <property fmtid="{D5CDD505-2E9C-101B-9397-08002B2CF9AE}" pid="4" name="Mendeley Citation Style_1">
    <vt:lpwstr>http://www.zotero.org/styles/plos-neglected-tropical-diseases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http://www.zotero.org/styles/plos-medicine</vt:lpwstr>
  </property>
  <property fmtid="{D5CDD505-2E9C-101B-9397-08002B2CF9AE}" pid="16" name="Mendeley Recent Style Name 5_1">
    <vt:lpwstr>PLOS Medicine</vt:lpwstr>
  </property>
  <property fmtid="{D5CDD505-2E9C-101B-9397-08002B2CF9AE}" pid="17" name="Mendeley Recent Style Id 6_1">
    <vt:lpwstr>http://www.zotero.org/styles/plos-neglected-tropical-diseases</vt:lpwstr>
  </property>
  <property fmtid="{D5CDD505-2E9C-101B-9397-08002B2CF9AE}" pid="18" name="Mendeley Recent Style Name 6_1">
    <vt:lpwstr>PLOS Neglected Tropical Diseases</vt:lpwstr>
  </property>
  <property fmtid="{D5CDD505-2E9C-101B-9397-08002B2CF9AE}" pid="19" name="Mendeley Recent Style Id 7_1">
    <vt:lpwstr>http://www.zotero.org/styles/the-lancet-infectious-diseases</vt:lpwstr>
  </property>
  <property fmtid="{D5CDD505-2E9C-101B-9397-08002B2CF9AE}" pid="20" name="Mendeley Recent Style Name 7_1">
    <vt:lpwstr>The Lancet Infectious Diseases</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nique User Id_1">
    <vt:lpwstr>877d6036-ab00-3809-a83a-bd49be2ee071</vt:lpwstr>
  </property>
</Properties>
</file>